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9D" w:rsidRPr="004C229D" w:rsidRDefault="004C229D" w:rsidP="004C229D">
      <w:pPr>
        <w:spacing w:after="0"/>
        <w:jc w:val="center"/>
        <w:rPr>
          <w:rFonts w:ascii="Calibri" w:eastAsia="Calibri" w:hAnsi="Calibri" w:cs="Times New Roman"/>
          <w:b/>
          <w:sz w:val="28"/>
          <w:szCs w:val="28"/>
        </w:rPr>
      </w:pPr>
      <w:bookmarkStart w:id="0" w:name="_GoBack"/>
      <w:bookmarkEnd w:id="0"/>
      <w:r w:rsidRPr="004C229D">
        <w:rPr>
          <w:rFonts w:ascii="Calibri" w:eastAsia="Calibri" w:hAnsi="Calibri" w:cs="Times New Roman"/>
          <w:b/>
          <w:sz w:val="28"/>
          <w:szCs w:val="28"/>
        </w:rPr>
        <w:t>RESOURCE DOCUMENT</w:t>
      </w:r>
    </w:p>
    <w:p w:rsidR="004C229D" w:rsidRPr="004C229D" w:rsidRDefault="004C229D" w:rsidP="004C229D">
      <w:pPr>
        <w:spacing w:after="0"/>
        <w:jc w:val="center"/>
        <w:rPr>
          <w:rFonts w:ascii="Calibri" w:eastAsia="Calibri" w:hAnsi="Calibri" w:cs="Times New Roman"/>
          <w:b/>
          <w:sz w:val="28"/>
          <w:szCs w:val="28"/>
        </w:rPr>
      </w:pPr>
      <w:r w:rsidRPr="004C229D">
        <w:rPr>
          <w:rFonts w:ascii="Calibri" w:eastAsia="Calibri" w:hAnsi="Calibri" w:cs="Times New Roman"/>
          <w:b/>
          <w:sz w:val="28"/>
          <w:szCs w:val="28"/>
        </w:rPr>
        <w:t>COMPLIANCE CHECKLIST: POLICY 2320</w:t>
      </w:r>
    </w:p>
    <w:p w:rsidR="004C229D" w:rsidRPr="004C229D" w:rsidRDefault="004C229D" w:rsidP="004C229D">
      <w:pPr>
        <w:spacing w:after="0"/>
        <w:jc w:val="center"/>
        <w:rPr>
          <w:rFonts w:ascii="Calibri" w:eastAsia="Calibri" w:hAnsi="Calibri" w:cs="Times New Roman"/>
          <w:b/>
          <w:sz w:val="24"/>
          <w:szCs w:val="24"/>
        </w:rPr>
      </w:pPr>
      <w:r w:rsidRPr="004C229D">
        <w:rPr>
          <w:rFonts w:ascii="Calibri" w:eastAsia="Calibri" w:hAnsi="Calibri" w:cs="Times New Roman"/>
          <w:b/>
          <w:sz w:val="24"/>
          <w:szCs w:val="24"/>
        </w:rPr>
        <w:t>A Process for Improving Education: Performance Based Accreditation System</w:t>
      </w:r>
    </w:p>
    <w:p w:rsidR="004C229D" w:rsidRPr="004C229D" w:rsidRDefault="004C229D" w:rsidP="004C229D">
      <w:pPr>
        <w:spacing w:after="0"/>
        <w:jc w:val="center"/>
        <w:rPr>
          <w:rFonts w:ascii="Calibri" w:eastAsia="Calibri" w:hAnsi="Calibri" w:cs="Times New Roman"/>
          <w:b/>
          <w:sz w:val="16"/>
          <w:szCs w:val="16"/>
        </w:rPr>
      </w:pPr>
    </w:p>
    <w:p w:rsidR="004C229D" w:rsidRPr="00716F60" w:rsidRDefault="004C229D" w:rsidP="004C229D">
      <w:pPr>
        <w:spacing w:after="0"/>
        <w:ind w:left="-630" w:right="-360"/>
        <w:jc w:val="both"/>
        <w:rPr>
          <w:rFonts w:ascii="Calibri" w:eastAsia="Calibri" w:hAnsi="Calibri" w:cs="Times New Roman"/>
        </w:rPr>
      </w:pPr>
      <w:r w:rsidRPr="00716F60">
        <w:rPr>
          <w:rFonts w:ascii="Calibri" w:eastAsia="Calibri" w:hAnsi="Calibri" w:cs="Times New Roman"/>
        </w:rPr>
        <w:t>DIRECTIONS:  To be considered fully compliant with Policy 2320, your school must adhere to the core areas outlined in Policy 2320.  Before you begin self-rating school compliance, you may wish to review the sections of the policy identified in the checklist.   These areas will be examined during the on-site review.  To determine your level of compliance, use the following guide:</w:t>
      </w:r>
    </w:p>
    <w:p w:rsidR="004C229D" w:rsidRPr="00716F60" w:rsidRDefault="004C229D" w:rsidP="004C229D">
      <w:pPr>
        <w:spacing w:after="0"/>
        <w:ind w:left="-630" w:right="-360"/>
        <w:rPr>
          <w:rFonts w:ascii="Calibri" w:eastAsia="Calibri" w:hAnsi="Calibri" w:cs="Times New Roman"/>
        </w:rPr>
      </w:pPr>
    </w:p>
    <w:p w:rsidR="004C229D" w:rsidRPr="00716F60" w:rsidRDefault="004C229D" w:rsidP="004C229D">
      <w:pPr>
        <w:tabs>
          <w:tab w:val="left" w:pos="720"/>
        </w:tabs>
        <w:spacing w:after="0"/>
        <w:ind w:right="-360"/>
        <w:rPr>
          <w:rFonts w:ascii="Calibri" w:eastAsia="Calibri" w:hAnsi="Calibri" w:cs="Times New Roman"/>
        </w:rPr>
      </w:pPr>
      <w:r w:rsidRPr="00716F60">
        <w:rPr>
          <w:rFonts w:ascii="Calibri" w:eastAsia="Calibri" w:hAnsi="Calibri" w:cs="Times New Roman"/>
        </w:rPr>
        <w:t xml:space="preserve">    Full Compliance = Compliant with </w:t>
      </w:r>
      <w:r w:rsidRPr="00716F60">
        <w:rPr>
          <w:rFonts w:ascii="Calibri" w:eastAsia="Calibri" w:hAnsi="Calibri" w:cs="Times New Roman"/>
          <w:b/>
        </w:rPr>
        <w:t>all</w:t>
      </w:r>
      <w:r w:rsidRPr="00716F60">
        <w:rPr>
          <w:rFonts w:ascii="Calibri" w:eastAsia="Calibri" w:hAnsi="Calibri" w:cs="Times New Roman"/>
        </w:rPr>
        <w:t xml:space="preserve"> items listed below.</w:t>
      </w:r>
    </w:p>
    <w:p w:rsidR="004C229D" w:rsidRPr="00716F60" w:rsidRDefault="004C229D" w:rsidP="004C229D">
      <w:pPr>
        <w:tabs>
          <w:tab w:val="left" w:pos="720"/>
        </w:tabs>
        <w:spacing w:after="0"/>
        <w:ind w:right="-360"/>
        <w:rPr>
          <w:rFonts w:ascii="Calibri" w:eastAsia="Calibri" w:hAnsi="Calibri" w:cs="Times New Roman"/>
        </w:rPr>
      </w:pPr>
      <w:r w:rsidRPr="00716F60">
        <w:rPr>
          <w:rFonts w:ascii="Calibri" w:eastAsia="Calibri" w:hAnsi="Calibri" w:cs="Times New Roman"/>
        </w:rPr>
        <w:t xml:space="preserve">    Partial Compliance = Compliant with </w:t>
      </w:r>
      <w:r w:rsidRPr="00716F60">
        <w:rPr>
          <w:rFonts w:ascii="Calibri" w:eastAsia="Calibri" w:hAnsi="Calibri" w:cs="Times New Roman"/>
          <w:b/>
        </w:rPr>
        <w:t>more than half</w:t>
      </w:r>
      <w:r w:rsidRPr="00716F60">
        <w:rPr>
          <w:rFonts w:ascii="Calibri" w:eastAsia="Calibri" w:hAnsi="Calibri" w:cs="Times New Roman"/>
        </w:rPr>
        <w:t xml:space="preserve"> the items listed below.</w:t>
      </w:r>
    </w:p>
    <w:p w:rsidR="004C229D" w:rsidRPr="00716F60" w:rsidRDefault="004C229D" w:rsidP="004C229D">
      <w:pPr>
        <w:tabs>
          <w:tab w:val="left" w:pos="720"/>
        </w:tabs>
        <w:spacing w:after="0"/>
        <w:ind w:right="-360"/>
        <w:rPr>
          <w:rFonts w:ascii="Calibri" w:eastAsia="Calibri" w:hAnsi="Calibri" w:cs="Times New Roman"/>
        </w:rPr>
      </w:pPr>
      <w:r w:rsidRPr="00716F60">
        <w:rPr>
          <w:rFonts w:ascii="Calibri" w:eastAsia="Calibri" w:hAnsi="Calibri" w:cs="Times New Roman"/>
        </w:rPr>
        <w:t xml:space="preserve">    Non-Compliant = Compliant </w:t>
      </w:r>
      <w:r w:rsidRPr="00716F60">
        <w:rPr>
          <w:rFonts w:ascii="Calibri" w:eastAsia="Calibri" w:hAnsi="Calibri" w:cs="Times New Roman"/>
          <w:b/>
        </w:rPr>
        <w:t>with half or</w:t>
      </w:r>
      <w:r w:rsidRPr="00716F60">
        <w:rPr>
          <w:rFonts w:ascii="Calibri" w:eastAsia="Calibri" w:hAnsi="Calibri" w:cs="Times New Roman"/>
        </w:rPr>
        <w:t xml:space="preserve"> </w:t>
      </w:r>
      <w:r w:rsidRPr="00716F60">
        <w:rPr>
          <w:rFonts w:ascii="Calibri" w:eastAsia="Calibri" w:hAnsi="Calibri" w:cs="Times New Roman"/>
          <w:b/>
        </w:rPr>
        <w:t xml:space="preserve">less </w:t>
      </w:r>
      <w:r w:rsidRPr="00716F60">
        <w:rPr>
          <w:rFonts w:ascii="Calibri" w:eastAsia="Calibri" w:hAnsi="Calibri" w:cs="Times New Roman"/>
        </w:rPr>
        <w:t>of the items below.</w:t>
      </w:r>
    </w:p>
    <w:p w:rsidR="004C229D" w:rsidRPr="00716F60" w:rsidRDefault="004C229D" w:rsidP="004C229D">
      <w:pPr>
        <w:spacing w:after="0"/>
        <w:ind w:left="-630" w:right="-360"/>
        <w:jc w:val="both"/>
        <w:rPr>
          <w:rFonts w:ascii="Calibri" w:eastAsia="Calibri" w:hAnsi="Calibri" w:cs="Times New Roman"/>
        </w:rPr>
      </w:pPr>
    </w:p>
    <w:p w:rsidR="004C229D" w:rsidRPr="00716F60" w:rsidRDefault="004C229D" w:rsidP="004C229D">
      <w:pPr>
        <w:spacing w:after="0"/>
        <w:ind w:left="-630" w:right="-360"/>
        <w:jc w:val="both"/>
        <w:rPr>
          <w:rFonts w:ascii="Calibri" w:eastAsia="Calibri" w:hAnsi="Calibri" w:cs="Times New Roman"/>
        </w:rPr>
      </w:pPr>
      <w:r w:rsidRPr="00716F60">
        <w:rPr>
          <w:rFonts w:ascii="Calibri" w:eastAsia="Calibri" w:hAnsi="Calibri" w:cs="Times New Roman"/>
        </w:rPr>
        <w:t>The following items will be reviewed by (1) examining the school documents and (2) interviewing staff.</w:t>
      </w:r>
    </w:p>
    <w:p w:rsidR="004C229D" w:rsidRPr="00716F60" w:rsidRDefault="004C229D" w:rsidP="004C229D">
      <w:pPr>
        <w:spacing w:after="0"/>
        <w:ind w:left="-630" w:right="-360"/>
        <w:jc w:val="both"/>
        <w:rPr>
          <w:rFonts w:ascii="Calibri" w:eastAsia="Calibri" w:hAnsi="Calibri" w:cs="Times New Roman"/>
          <w:b/>
        </w:rPr>
      </w:pPr>
      <w:r w:rsidRPr="00716F60">
        <w:rPr>
          <w:rFonts w:ascii="Calibri" w:eastAsia="Calibri" w:hAnsi="Calibri" w:cs="Times New Roman"/>
          <w:b/>
        </w:rPr>
        <w:t>(S_</w:t>
      </w:r>
      <w:proofErr w:type="gramStart"/>
      <w:r w:rsidRPr="00716F60">
        <w:rPr>
          <w:rFonts w:ascii="Calibri" w:eastAsia="Calibri" w:hAnsi="Calibri" w:cs="Times New Roman"/>
          <w:b/>
        </w:rPr>
        <w:t>,F</w:t>
      </w:r>
      <w:proofErr w:type="gramEnd"/>
      <w:r w:rsidRPr="00716F60">
        <w:rPr>
          <w:rFonts w:ascii="Calibri" w:eastAsia="Calibri" w:hAnsi="Calibri" w:cs="Times New Roman"/>
          <w:b/>
        </w:rPr>
        <w:t>_ below identify the Standard and Function correlating to the High Quality Standards in Policy 2322).</w:t>
      </w:r>
    </w:p>
    <w:tbl>
      <w:tblPr>
        <w:tblStyle w:val="TableGrid"/>
        <w:tblW w:w="10800" w:type="dxa"/>
        <w:tblInd w:w="-612" w:type="dxa"/>
        <w:tblLook w:val="04A0" w:firstRow="1" w:lastRow="0" w:firstColumn="1" w:lastColumn="0" w:noHBand="0" w:noVBand="1"/>
      </w:tblPr>
      <w:tblGrid>
        <w:gridCol w:w="1541"/>
        <w:gridCol w:w="9259"/>
      </w:tblGrid>
      <w:tr w:rsidR="00F60619" w:rsidTr="00472F7B">
        <w:tc>
          <w:tcPr>
            <w:tcW w:w="1541" w:type="dxa"/>
            <w:tcBorders>
              <w:top w:val="single" w:sz="4" w:space="0" w:color="auto"/>
              <w:left w:val="single" w:sz="4" w:space="0" w:color="auto"/>
              <w:bottom w:val="single" w:sz="4" w:space="0" w:color="auto"/>
              <w:right w:val="single" w:sz="4" w:space="0" w:color="auto"/>
            </w:tcBorders>
            <w:hideMark/>
          </w:tcPr>
          <w:p w:rsidR="00F60619" w:rsidRPr="00716F60" w:rsidRDefault="00F60619" w:rsidP="004C229D">
            <w:pPr>
              <w:tabs>
                <w:tab w:val="left" w:pos="399"/>
              </w:tabs>
              <w:rPr>
                <w:b/>
              </w:rPr>
            </w:pPr>
            <w:r w:rsidRPr="00716F60">
              <w:rPr>
                <w:b/>
              </w:rPr>
              <w:t>Compliance</w:t>
            </w:r>
          </w:p>
        </w:tc>
        <w:tc>
          <w:tcPr>
            <w:tcW w:w="9259" w:type="dxa"/>
            <w:tcBorders>
              <w:top w:val="single" w:sz="4" w:space="0" w:color="auto"/>
              <w:left w:val="single" w:sz="4" w:space="0" w:color="auto"/>
              <w:bottom w:val="single" w:sz="4" w:space="0" w:color="auto"/>
              <w:right w:val="single" w:sz="4" w:space="0" w:color="auto"/>
            </w:tcBorders>
            <w:hideMark/>
          </w:tcPr>
          <w:p w:rsidR="00F60619" w:rsidRDefault="00F60619" w:rsidP="00F60619">
            <w:pPr>
              <w:jc w:val="center"/>
              <w:rPr>
                <w:b/>
                <w:sz w:val="24"/>
                <w:szCs w:val="24"/>
              </w:rPr>
            </w:pPr>
            <w:r>
              <w:rPr>
                <w:b/>
                <w:sz w:val="24"/>
                <w:szCs w:val="24"/>
              </w:rPr>
              <w:t>Core Areas of Policy 2320</w:t>
            </w:r>
          </w:p>
        </w:tc>
      </w:tr>
      <w:tr w:rsidR="00F60619" w:rsidTr="00472F7B">
        <w:trPr>
          <w:trHeight w:val="638"/>
        </w:trPr>
        <w:tc>
          <w:tcPr>
            <w:tcW w:w="1541" w:type="dxa"/>
            <w:tcBorders>
              <w:top w:val="single" w:sz="4" w:space="0" w:color="auto"/>
              <w:left w:val="single" w:sz="4" w:space="0" w:color="auto"/>
              <w:bottom w:val="single" w:sz="4" w:space="0" w:color="auto"/>
              <w:right w:val="single" w:sz="4" w:space="0" w:color="auto"/>
            </w:tcBorders>
            <w:hideMark/>
          </w:tcPr>
          <w:p w:rsidR="00F60619" w:rsidRPr="00716F60" w:rsidRDefault="00F60619">
            <w:pPr>
              <w:rPr>
                <w:b/>
              </w:rPr>
            </w:pPr>
          </w:p>
          <w:p w:rsidR="003C5161" w:rsidRPr="00716F60" w:rsidRDefault="003C5161">
            <w:pPr>
              <w:rPr>
                <w:b/>
              </w:rPr>
            </w:pPr>
          </w:p>
          <w:p w:rsidR="003C5161" w:rsidRPr="00716F60" w:rsidRDefault="003C5161">
            <w:pPr>
              <w:rPr>
                <w:b/>
              </w:rPr>
            </w:pPr>
          </w:p>
          <w:p w:rsidR="003C5161" w:rsidRPr="00716F60" w:rsidRDefault="003C5161">
            <w:pPr>
              <w:rPr>
                <w:b/>
              </w:rPr>
            </w:pPr>
          </w:p>
          <w:p w:rsidR="003C5161" w:rsidRPr="00716F60" w:rsidRDefault="003C5161">
            <w:pPr>
              <w:rPr>
                <w:b/>
              </w:rPr>
            </w:pPr>
          </w:p>
          <w:p w:rsidR="003C5161" w:rsidRPr="00716F60" w:rsidRDefault="003C5161">
            <w:pPr>
              <w:rPr>
                <w:b/>
              </w:rPr>
            </w:pPr>
          </w:p>
          <w:p w:rsidR="00F60619" w:rsidRPr="00716F60" w:rsidRDefault="00F60619">
            <w:pPr>
              <w:rPr>
                <w:b/>
              </w:rPr>
            </w:pPr>
            <w:r w:rsidRPr="00716F60">
              <w:rPr>
                <w:b/>
              </w:rPr>
              <w:t>Yes      No</w:t>
            </w:r>
          </w:p>
          <w:p w:rsidR="00472F7B" w:rsidRPr="00716F60" w:rsidRDefault="005E38DF" w:rsidP="00472F7B">
            <w:pPr>
              <w:rPr>
                <w:b/>
              </w:rPr>
            </w:pPr>
            <w:r w:rsidRPr="00716F60">
              <w:rPr>
                <w:b/>
              </w:rPr>
              <w:t xml:space="preserve">Yes      No </w:t>
            </w:r>
          </w:p>
          <w:p w:rsidR="00F60619" w:rsidRPr="00716F60" w:rsidRDefault="00472F7B" w:rsidP="00472F7B">
            <w:pPr>
              <w:rPr>
                <w:b/>
              </w:rPr>
            </w:pPr>
            <w:r w:rsidRPr="00716F60">
              <w:rPr>
                <w:b/>
              </w:rPr>
              <w:t>Y</w:t>
            </w:r>
            <w:r w:rsidR="00F60619" w:rsidRPr="00716F60">
              <w:rPr>
                <w:b/>
              </w:rPr>
              <w:t>es      No</w:t>
            </w:r>
          </w:p>
        </w:tc>
        <w:tc>
          <w:tcPr>
            <w:tcW w:w="9259" w:type="dxa"/>
            <w:tcBorders>
              <w:top w:val="single" w:sz="4" w:space="0" w:color="auto"/>
              <w:left w:val="single" w:sz="4" w:space="0" w:color="auto"/>
              <w:bottom w:val="single" w:sz="4" w:space="0" w:color="auto"/>
              <w:right w:val="single" w:sz="4" w:space="0" w:color="auto"/>
            </w:tcBorders>
            <w:hideMark/>
          </w:tcPr>
          <w:p w:rsidR="004C229D" w:rsidRPr="00716F60" w:rsidRDefault="004C229D" w:rsidP="004C229D">
            <w:r w:rsidRPr="00716F60">
              <w:rPr>
                <w:b/>
              </w:rPr>
              <w:t>School Responsibilities for Accreditation</w:t>
            </w:r>
            <w:r w:rsidRPr="00716F60">
              <w:rPr>
                <w:rFonts w:cs="Arial"/>
                <w:b/>
              </w:rPr>
              <w:t xml:space="preserve">  (Pages 13-14) </w:t>
            </w:r>
            <w:r w:rsidRPr="00716F60">
              <w:t xml:space="preserve"> </w:t>
            </w:r>
          </w:p>
          <w:p w:rsidR="004C229D" w:rsidRPr="00716F60" w:rsidRDefault="004C229D" w:rsidP="004C229D">
            <w:r w:rsidRPr="00716F60">
              <w:t>In order for accreditation processes to fulfill purposes outlined in W. Va. Code §18-2E-5, to impact student performance levels, and to improve school quality, each West Virginia school must determine productive and meaningful ways to integrate accreditation processes into continuous improvement efforts. To that end, the school is responsible for the following:</w:t>
            </w:r>
          </w:p>
          <w:p w:rsidR="004C229D" w:rsidRPr="00716F60" w:rsidRDefault="004C229D" w:rsidP="004C229D">
            <w:pPr>
              <w:rPr>
                <w:rFonts w:cs="Arial"/>
                <w:b/>
              </w:rPr>
            </w:pPr>
          </w:p>
          <w:p w:rsidR="004C229D" w:rsidRPr="00716F60" w:rsidRDefault="004C229D" w:rsidP="004C229D">
            <w:r w:rsidRPr="00716F60">
              <w:t>Develop Knowledge of Policy 2322</w:t>
            </w:r>
          </w:p>
          <w:p w:rsidR="004C229D" w:rsidRPr="00716F60" w:rsidRDefault="004C229D" w:rsidP="004C229D">
            <w:r w:rsidRPr="00716F60">
              <w:t>Complete the School Monitoring Report</w:t>
            </w:r>
          </w:p>
          <w:p w:rsidR="004C229D" w:rsidRPr="00716F60" w:rsidRDefault="004C229D" w:rsidP="004C229D">
            <w:r w:rsidRPr="00716F60">
              <w:t>Participate in the on-site review process</w:t>
            </w:r>
          </w:p>
          <w:p w:rsidR="004C229D" w:rsidRPr="00716F60" w:rsidRDefault="004C229D" w:rsidP="004C229D">
            <w:pPr>
              <w:pStyle w:val="ListParagraph"/>
              <w:numPr>
                <w:ilvl w:val="0"/>
                <w:numId w:val="6"/>
              </w:numPr>
              <w:ind w:left="432" w:hanging="270"/>
            </w:pPr>
            <w:r w:rsidRPr="00716F60">
              <w:t>Prepare for the review – the principal shall:</w:t>
            </w:r>
          </w:p>
          <w:p w:rsidR="004C229D" w:rsidRPr="00716F60" w:rsidRDefault="004C229D" w:rsidP="004C229D">
            <w:pPr>
              <w:pStyle w:val="ListParagraph"/>
              <w:numPr>
                <w:ilvl w:val="1"/>
                <w:numId w:val="6"/>
              </w:numPr>
              <w:ind w:left="702" w:hanging="270"/>
            </w:pPr>
            <w:r w:rsidRPr="00716F60">
              <w:t>prepare the staff for productive involvement in the review process with materials provided by the OEPA</w:t>
            </w:r>
          </w:p>
          <w:p w:rsidR="004C229D" w:rsidRPr="00716F60" w:rsidRDefault="004C229D" w:rsidP="004C229D">
            <w:pPr>
              <w:pStyle w:val="ListParagraph"/>
              <w:numPr>
                <w:ilvl w:val="1"/>
                <w:numId w:val="6"/>
              </w:numPr>
              <w:ind w:left="702" w:hanging="270"/>
            </w:pPr>
            <w:r w:rsidRPr="00716F60">
              <w:t>one month prior to the scheduled review, update the School Monitoring Report documenting and summarizing the school’s overall progress</w:t>
            </w:r>
          </w:p>
          <w:p w:rsidR="004C229D" w:rsidRPr="00716F60" w:rsidRDefault="004C229D" w:rsidP="004C229D">
            <w:pPr>
              <w:pStyle w:val="ListParagraph"/>
              <w:numPr>
                <w:ilvl w:val="1"/>
                <w:numId w:val="6"/>
              </w:numPr>
              <w:ind w:left="702" w:hanging="270"/>
            </w:pPr>
            <w:r w:rsidRPr="00716F60">
              <w:t>prepare the staff and stakeholders for the on-site review, including orientation to the logistics, responsibilities, and expectations associated with the process</w:t>
            </w:r>
          </w:p>
          <w:p w:rsidR="004C229D" w:rsidRPr="00716F60" w:rsidRDefault="004C229D" w:rsidP="004C229D">
            <w:pPr>
              <w:pStyle w:val="ListParagraph"/>
              <w:numPr>
                <w:ilvl w:val="0"/>
                <w:numId w:val="6"/>
              </w:numPr>
              <w:ind w:left="432" w:hanging="270"/>
            </w:pPr>
            <w:r w:rsidRPr="00716F60">
              <w:t>Participate in the review</w:t>
            </w:r>
          </w:p>
          <w:p w:rsidR="004C229D" w:rsidRPr="00716F60" w:rsidRDefault="004C229D" w:rsidP="004C229D">
            <w:pPr>
              <w:pStyle w:val="ListParagraph"/>
              <w:numPr>
                <w:ilvl w:val="0"/>
                <w:numId w:val="6"/>
              </w:numPr>
              <w:ind w:left="432" w:hanging="270"/>
            </w:pPr>
            <w:r w:rsidRPr="00716F60">
              <w:t>Participate in the Exit Conference</w:t>
            </w:r>
          </w:p>
          <w:p w:rsidR="004C229D" w:rsidRPr="00716F60" w:rsidRDefault="004C229D" w:rsidP="004C229D">
            <w:pPr>
              <w:pStyle w:val="ListParagraph"/>
              <w:numPr>
                <w:ilvl w:val="0"/>
                <w:numId w:val="6"/>
              </w:numPr>
              <w:ind w:left="432" w:hanging="270"/>
            </w:pPr>
            <w:r w:rsidRPr="00716F60">
              <w:t>Address the review findings – the principal shall:</w:t>
            </w:r>
          </w:p>
          <w:p w:rsidR="004C229D" w:rsidRPr="00716F60" w:rsidRDefault="004C229D" w:rsidP="004C229D">
            <w:pPr>
              <w:pStyle w:val="ListParagraph"/>
              <w:numPr>
                <w:ilvl w:val="1"/>
                <w:numId w:val="6"/>
              </w:numPr>
              <w:ind w:left="702" w:hanging="270"/>
            </w:pPr>
            <w:r w:rsidRPr="00716F60">
              <w:t>share and discuss the report with the school staff and LSIC and for using the report in the development or revision of the school strategic plan</w:t>
            </w:r>
          </w:p>
          <w:p w:rsidR="00F60619" w:rsidRPr="00716F60" w:rsidRDefault="004C229D" w:rsidP="004C229D">
            <w:pPr>
              <w:pStyle w:val="ListParagraph"/>
              <w:numPr>
                <w:ilvl w:val="1"/>
                <w:numId w:val="6"/>
              </w:numPr>
              <w:ind w:left="702" w:hanging="270"/>
            </w:pPr>
            <w:r w:rsidRPr="00716F60">
              <w:t>work with staff to determine how the deficiencies are to be corrected according to the timelines established by the WVBE</w:t>
            </w:r>
          </w:p>
        </w:tc>
      </w:tr>
      <w:tr w:rsidR="00C70F3D" w:rsidTr="00472F7B">
        <w:trPr>
          <w:trHeight w:val="638"/>
        </w:trPr>
        <w:tc>
          <w:tcPr>
            <w:tcW w:w="1541" w:type="dxa"/>
            <w:tcBorders>
              <w:top w:val="single" w:sz="4" w:space="0" w:color="auto"/>
              <w:left w:val="single" w:sz="4" w:space="0" w:color="auto"/>
              <w:bottom w:val="single" w:sz="4" w:space="0" w:color="auto"/>
              <w:right w:val="single" w:sz="4" w:space="0" w:color="auto"/>
            </w:tcBorders>
          </w:tcPr>
          <w:p w:rsidR="00C70F3D" w:rsidRPr="00716F60" w:rsidRDefault="00C70F3D">
            <w:pPr>
              <w:rPr>
                <w:b/>
              </w:rPr>
            </w:pPr>
          </w:p>
        </w:tc>
        <w:tc>
          <w:tcPr>
            <w:tcW w:w="9259" w:type="dxa"/>
            <w:tcBorders>
              <w:top w:val="single" w:sz="4" w:space="0" w:color="auto"/>
              <w:left w:val="single" w:sz="4" w:space="0" w:color="auto"/>
              <w:bottom w:val="single" w:sz="4" w:space="0" w:color="auto"/>
              <w:right w:val="single" w:sz="4" w:space="0" w:color="auto"/>
            </w:tcBorders>
          </w:tcPr>
          <w:p w:rsidR="004C229D" w:rsidRPr="00716F60" w:rsidRDefault="004C229D" w:rsidP="004C229D">
            <w:r w:rsidRPr="00716F60">
              <w:rPr>
                <w:b/>
              </w:rPr>
              <w:t>County Board of Education R</w:t>
            </w:r>
            <w:r w:rsidRPr="00716F60">
              <w:rPr>
                <w:b/>
                <w:bCs/>
                <w:color w:val="000000"/>
              </w:rPr>
              <w:t>esponsibilities for School Accreditation</w:t>
            </w:r>
            <w:r w:rsidRPr="00716F60">
              <w:rPr>
                <w:rFonts w:cs="Arial"/>
                <w:b/>
              </w:rPr>
              <w:t xml:space="preserve"> (Pages 14-15) </w:t>
            </w:r>
            <w:r w:rsidRPr="00716F60">
              <w:t xml:space="preserve"> </w:t>
            </w:r>
          </w:p>
          <w:p w:rsidR="004C229D" w:rsidRPr="00716F60" w:rsidRDefault="004C229D" w:rsidP="004C229D">
            <w:r w:rsidRPr="00716F60">
              <w:rPr>
                <w:bCs/>
                <w:color w:val="000000"/>
              </w:rPr>
              <w:t xml:space="preserve">It is intended that the accreditation process be a method for local boards of education to improve school quality and student performance. Thus, the county board of education through the county superintendent of schools must exercise leadership and provide appropriate support to accomplish this intent.  </w:t>
            </w:r>
          </w:p>
          <w:p w:rsidR="004C229D" w:rsidRPr="00716F60" w:rsidRDefault="004C229D" w:rsidP="004C229D">
            <w:pPr>
              <w:rPr>
                <w:bCs/>
                <w:color w:val="000000"/>
              </w:rPr>
            </w:pPr>
            <w:r w:rsidRPr="00716F60">
              <w:rPr>
                <w:bCs/>
                <w:color w:val="000000"/>
              </w:rPr>
              <w:t>Implementation</w:t>
            </w:r>
          </w:p>
          <w:p w:rsidR="004C229D" w:rsidRPr="00716F60" w:rsidRDefault="004C229D" w:rsidP="004C229D">
            <w:pPr>
              <w:pStyle w:val="ListParagraph"/>
              <w:numPr>
                <w:ilvl w:val="0"/>
                <w:numId w:val="7"/>
              </w:numPr>
              <w:ind w:left="432" w:hanging="270"/>
              <w:rPr>
                <w:bCs/>
                <w:color w:val="000000"/>
              </w:rPr>
            </w:pPr>
            <w:r w:rsidRPr="00716F60">
              <w:rPr>
                <w:bCs/>
                <w:color w:val="000000"/>
              </w:rPr>
              <w:t>Develop Understanding of Accreditation Processes</w:t>
            </w:r>
          </w:p>
          <w:p w:rsidR="004C229D" w:rsidRPr="00716F60" w:rsidRDefault="004C229D" w:rsidP="004C229D">
            <w:pPr>
              <w:pStyle w:val="ListParagraph"/>
              <w:numPr>
                <w:ilvl w:val="0"/>
                <w:numId w:val="7"/>
              </w:numPr>
              <w:ind w:left="432" w:hanging="270"/>
              <w:rPr>
                <w:bCs/>
                <w:color w:val="000000"/>
              </w:rPr>
            </w:pPr>
            <w:r w:rsidRPr="00716F60">
              <w:rPr>
                <w:bCs/>
                <w:color w:val="000000"/>
              </w:rPr>
              <w:t>Establish Local Direction</w:t>
            </w:r>
          </w:p>
          <w:p w:rsidR="004C229D" w:rsidRPr="00716F60" w:rsidRDefault="004C229D" w:rsidP="004C229D">
            <w:pPr>
              <w:pStyle w:val="ListParagraph"/>
              <w:numPr>
                <w:ilvl w:val="0"/>
                <w:numId w:val="7"/>
              </w:numPr>
              <w:ind w:left="432" w:hanging="270"/>
              <w:rPr>
                <w:bCs/>
                <w:color w:val="000000"/>
              </w:rPr>
            </w:pPr>
            <w:r w:rsidRPr="00716F60">
              <w:rPr>
                <w:bCs/>
                <w:color w:val="000000"/>
              </w:rPr>
              <w:t xml:space="preserve">Monitor School Responsibilities:  </w:t>
            </w:r>
          </w:p>
          <w:p w:rsidR="004C229D" w:rsidRPr="00716F60" w:rsidRDefault="004C229D" w:rsidP="004C229D">
            <w:pPr>
              <w:pStyle w:val="ListParagraph"/>
              <w:numPr>
                <w:ilvl w:val="1"/>
                <w:numId w:val="7"/>
              </w:numPr>
              <w:ind w:left="702" w:hanging="270"/>
              <w:rPr>
                <w:bCs/>
                <w:color w:val="000000"/>
              </w:rPr>
            </w:pPr>
            <w:r w:rsidRPr="00716F60">
              <w:rPr>
                <w:bCs/>
                <w:color w:val="000000"/>
              </w:rPr>
              <w:t xml:space="preserve">Completion of the annual </w:t>
            </w:r>
            <w:r w:rsidRPr="00716F60">
              <w:t>School Monitoring Report</w:t>
            </w:r>
          </w:p>
          <w:p w:rsidR="004C229D" w:rsidRPr="00716F60" w:rsidRDefault="004C229D" w:rsidP="004C229D">
            <w:pPr>
              <w:pStyle w:val="ListParagraph"/>
              <w:numPr>
                <w:ilvl w:val="1"/>
                <w:numId w:val="7"/>
              </w:numPr>
              <w:ind w:left="702" w:hanging="270"/>
              <w:rPr>
                <w:bCs/>
                <w:color w:val="000000"/>
              </w:rPr>
            </w:pPr>
            <w:r w:rsidRPr="00716F60">
              <w:rPr>
                <w:bCs/>
                <w:color w:val="000000"/>
              </w:rPr>
              <w:t xml:space="preserve">Review and verify the accuracy of the </w:t>
            </w:r>
            <w:r w:rsidRPr="00716F60">
              <w:t>School Monitoring Report</w:t>
            </w:r>
          </w:p>
          <w:p w:rsidR="004C229D" w:rsidRPr="00716F60" w:rsidRDefault="004C229D" w:rsidP="004C229D">
            <w:pPr>
              <w:pStyle w:val="ListParagraph"/>
              <w:numPr>
                <w:ilvl w:val="1"/>
                <w:numId w:val="7"/>
              </w:numPr>
              <w:ind w:left="702" w:hanging="270"/>
              <w:rPr>
                <w:bCs/>
                <w:color w:val="000000"/>
              </w:rPr>
            </w:pPr>
            <w:r w:rsidRPr="00716F60">
              <w:rPr>
                <w:bCs/>
                <w:color w:val="000000"/>
              </w:rPr>
              <w:t xml:space="preserve">Ensure school strategic planning processes consider the </w:t>
            </w:r>
            <w:r w:rsidRPr="00716F60">
              <w:t>annual and cyclical feedback provided through the accreditation process</w:t>
            </w:r>
          </w:p>
          <w:p w:rsidR="004C229D" w:rsidRPr="00716F60" w:rsidRDefault="004C229D" w:rsidP="004C229D">
            <w:pPr>
              <w:pStyle w:val="ListParagraph"/>
              <w:numPr>
                <w:ilvl w:val="1"/>
                <w:numId w:val="7"/>
              </w:numPr>
              <w:ind w:left="702" w:hanging="270"/>
              <w:rPr>
                <w:bCs/>
                <w:color w:val="000000"/>
              </w:rPr>
            </w:pPr>
            <w:r w:rsidRPr="00716F60">
              <w:lastRenderedPageBreak/>
              <w:t>Ensure that all audit review findings are sufficiently addressed according to the directives and timelines established by the WVBE.</w:t>
            </w:r>
          </w:p>
          <w:p w:rsidR="004C229D" w:rsidRPr="00716F60" w:rsidRDefault="004C229D" w:rsidP="004C229D">
            <w:pPr>
              <w:pStyle w:val="ListParagraph"/>
              <w:ind w:left="432" w:hanging="270"/>
              <w:rPr>
                <w:bCs/>
                <w:color w:val="000000"/>
              </w:rPr>
            </w:pPr>
          </w:p>
          <w:p w:rsidR="004C229D" w:rsidRPr="00716F60" w:rsidRDefault="004C229D" w:rsidP="004C229D">
            <w:pPr>
              <w:ind w:left="432" w:hanging="270"/>
              <w:rPr>
                <w:bCs/>
                <w:color w:val="000000"/>
              </w:rPr>
            </w:pPr>
            <w:r w:rsidRPr="00716F60">
              <w:rPr>
                <w:bCs/>
                <w:color w:val="000000"/>
              </w:rPr>
              <w:t>Establish Supports and Expectations that Impact Student Performance</w:t>
            </w:r>
          </w:p>
          <w:p w:rsidR="004C229D" w:rsidRPr="00716F60" w:rsidRDefault="004C229D" w:rsidP="004C229D">
            <w:pPr>
              <w:pStyle w:val="ListParagraph"/>
              <w:numPr>
                <w:ilvl w:val="0"/>
                <w:numId w:val="8"/>
              </w:numPr>
              <w:ind w:left="432" w:hanging="270"/>
              <w:rPr>
                <w:rFonts w:cs="Arial"/>
                <w:b/>
              </w:rPr>
            </w:pPr>
            <w:r w:rsidRPr="00716F60">
              <w:rPr>
                <w:bCs/>
                <w:color w:val="000000"/>
              </w:rPr>
              <w:t>Develop instructional leadership skills of principals.</w:t>
            </w:r>
          </w:p>
          <w:p w:rsidR="004C229D" w:rsidRPr="00716F60" w:rsidRDefault="004C229D" w:rsidP="004C229D">
            <w:pPr>
              <w:pStyle w:val="ListParagraph"/>
              <w:numPr>
                <w:ilvl w:val="0"/>
                <w:numId w:val="8"/>
              </w:numPr>
              <w:ind w:left="432" w:hanging="270"/>
              <w:rPr>
                <w:rFonts w:cs="Arial"/>
                <w:b/>
              </w:rPr>
            </w:pPr>
            <w:r w:rsidRPr="00716F60">
              <w:rPr>
                <w:bCs/>
                <w:color w:val="000000"/>
              </w:rPr>
              <w:t>Support school continuous improvement and strategic planning processes.</w:t>
            </w:r>
          </w:p>
          <w:p w:rsidR="004C229D" w:rsidRPr="00716F60" w:rsidRDefault="004C229D" w:rsidP="004C229D">
            <w:pPr>
              <w:pStyle w:val="ListParagraph"/>
              <w:numPr>
                <w:ilvl w:val="0"/>
                <w:numId w:val="8"/>
              </w:numPr>
              <w:ind w:left="432" w:hanging="270"/>
              <w:rPr>
                <w:rFonts w:cs="Arial"/>
                <w:b/>
              </w:rPr>
            </w:pPr>
            <w:r w:rsidRPr="00716F60">
              <w:rPr>
                <w:bCs/>
                <w:color w:val="000000"/>
              </w:rPr>
              <w:t>Implement school-based professional development programs that address the unique needs of staff and students.</w:t>
            </w:r>
          </w:p>
          <w:p w:rsidR="00C70F3D" w:rsidRPr="00716F60" w:rsidRDefault="004C229D" w:rsidP="004C229D">
            <w:pPr>
              <w:pStyle w:val="ListParagraph"/>
              <w:numPr>
                <w:ilvl w:val="0"/>
                <w:numId w:val="8"/>
              </w:numPr>
              <w:ind w:left="421" w:hanging="270"/>
              <w:rPr>
                <w:rFonts w:cs="Arial"/>
                <w:b/>
              </w:rPr>
            </w:pPr>
            <w:r w:rsidRPr="00716F60">
              <w:rPr>
                <w:bCs/>
                <w:color w:val="000000"/>
              </w:rPr>
              <w:t>Differentiate support and resources to individual schools according to performance grades, ensuring that all students in the school system have equitable opportunities for success.</w:t>
            </w:r>
          </w:p>
        </w:tc>
      </w:tr>
      <w:tr w:rsidR="00F60619" w:rsidTr="00472F7B">
        <w:trPr>
          <w:trHeight w:val="863"/>
        </w:trPr>
        <w:tc>
          <w:tcPr>
            <w:tcW w:w="1541" w:type="dxa"/>
            <w:tcBorders>
              <w:top w:val="single" w:sz="4" w:space="0" w:color="auto"/>
              <w:left w:val="single" w:sz="4" w:space="0" w:color="auto"/>
              <w:bottom w:val="single" w:sz="4" w:space="0" w:color="auto"/>
              <w:right w:val="single" w:sz="4" w:space="0" w:color="auto"/>
            </w:tcBorders>
          </w:tcPr>
          <w:p w:rsidR="00274425" w:rsidRPr="00716F60" w:rsidRDefault="00274425">
            <w:pPr>
              <w:rPr>
                <w:b/>
              </w:rPr>
            </w:pPr>
          </w:p>
          <w:p w:rsidR="00274425" w:rsidRPr="00716F60" w:rsidRDefault="00274425">
            <w:pPr>
              <w:rPr>
                <w:b/>
              </w:rPr>
            </w:pPr>
          </w:p>
          <w:p w:rsidR="00BF143E" w:rsidRPr="00716F60" w:rsidRDefault="00BF143E">
            <w:pPr>
              <w:rPr>
                <w:b/>
              </w:rPr>
            </w:pPr>
          </w:p>
          <w:p w:rsidR="00274425" w:rsidRPr="00716F60" w:rsidRDefault="00274425">
            <w:pPr>
              <w:rPr>
                <w:b/>
              </w:rPr>
            </w:pPr>
          </w:p>
          <w:p w:rsidR="00FC2B8F" w:rsidRPr="00716F60" w:rsidRDefault="00FC2B8F">
            <w:pPr>
              <w:rPr>
                <w:b/>
              </w:rPr>
            </w:pPr>
          </w:p>
          <w:p w:rsidR="00F60619" w:rsidRPr="00716F60" w:rsidRDefault="00F60619">
            <w:pPr>
              <w:rPr>
                <w:b/>
              </w:rPr>
            </w:pPr>
            <w:r w:rsidRPr="00716F60">
              <w:rPr>
                <w:b/>
              </w:rPr>
              <w:t>Yes      No</w:t>
            </w:r>
          </w:p>
          <w:p w:rsidR="00FC2B8F" w:rsidRPr="00716F60" w:rsidRDefault="00FC2B8F">
            <w:pPr>
              <w:rPr>
                <w:b/>
              </w:rPr>
            </w:pPr>
          </w:p>
          <w:p w:rsidR="00FC2B8F" w:rsidRPr="00716F60" w:rsidRDefault="00FC2B8F">
            <w:pPr>
              <w:rPr>
                <w:b/>
              </w:rPr>
            </w:pPr>
          </w:p>
          <w:p w:rsidR="00FC2B8F" w:rsidRPr="00716F60" w:rsidRDefault="00FC2B8F">
            <w:pPr>
              <w:rPr>
                <w:b/>
              </w:rPr>
            </w:pPr>
          </w:p>
          <w:p w:rsidR="00FC2B8F" w:rsidRPr="00716F60" w:rsidRDefault="00FC2B8F" w:rsidP="00FC2B8F">
            <w:pPr>
              <w:rPr>
                <w:b/>
              </w:rPr>
            </w:pPr>
          </w:p>
          <w:p w:rsidR="00FC2B8F" w:rsidRPr="00716F60" w:rsidRDefault="00FC2B8F" w:rsidP="00FC2B8F">
            <w:pPr>
              <w:rPr>
                <w:b/>
              </w:rPr>
            </w:pPr>
            <w:r w:rsidRPr="00716F60">
              <w:rPr>
                <w:b/>
              </w:rPr>
              <w:t>Yes      No</w:t>
            </w:r>
          </w:p>
          <w:p w:rsidR="003C5161" w:rsidRPr="00716F60" w:rsidRDefault="003C5161">
            <w:pPr>
              <w:rPr>
                <w:b/>
              </w:rPr>
            </w:pPr>
          </w:p>
          <w:p w:rsidR="003C5161" w:rsidRPr="00716F60" w:rsidRDefault="003C5161">
            <w:pPr>
              <w:rPr>
                <w:b/>
              </w:rPr>
            </w:pPr>
          </w:p>
          <w:p w:rsidR="00274425" w:rsidRPr="00716F60" w:rsidRDefault="00274425" w:rsidP="00274425">
            <w:pPr>
              <w:rPr>
                <w:b/>
              </w:rPr>
            </w:pPr>
            <w:r w:rsidRPr="00716F60">
              <w:rPr>
                <w:b/>
              </w:rPr>
              <w:t>Yes      No</w:t>
            </w:r>
          </w:p>
          <w:p w:rsidR="003C5161" w:rsidRPr="00716F60" w:rsidRDefault="003C5161" w:rsidP="00274425">
            <w:pPr>
              <w:rPr>
                <w:b/>
              </w:rPr>
            </w:pPr>
          </w:p>
          <w:p w:rsidR="003C5161" w:rsidRPr="00716F60" w:rsidRDefault="003C5161" w:rsidP="00274425">
            <w:pPr>
              <w:rPr>
                <w:b/>
              </w:rPr>
            </w:pPr>
          </w:p>
          <w:p w:rsidR="00FC2B8F" w:rsidRPr="00716F60" w:rsidRDefault="00FC2B8F" w:rsidP="00274425">
            <w:pPr>
              <w:rPr>
                <w:b/>
              </w:rPr>
            </w:pPr>
          </w:p>
          <w:p w:rsidR="00FC2B8F" w:rsidRPr="00716F60" w:rsidRDefault="00FC2B8F" w:rsidP="00274425">
            <w:pPr>
              <w:rPr>
                <w:b/>
              </w:rPr>
            </w:pPr>
          </w:p>
          <w:p w:rsidR="00274425" w:rsidRPr="00716F60" w:rsidRDefault="00274425" w:rsidP="00274425">
            <w:pPr>
              <w:rPr>
                <w:b/>
              </w:rPr>
            </w:pPr>
            <w:r w:rsidRPr="00716F60">
              <w:rPr>
                <w:b/>
              </w:rPr>
              <w:t>Yes      No</w:t>
            </w:r>
          </w:p>
          <w:p w:rsidR="001C1B56" w:rsidRPr="00716F60" w:rsidRDefault="001C1B56" w:rsidP="00274425">
            <w:pPr>
              <w:rPr>
                <w:b/>
              </w:rPr>
            </w:pPr>
          </w:p>
          <w:p w:rsidR="001C1B56" w:rsidRPr="00716F60" w:rsidRDefault="001C1B56" w:rsidP="00274425">
            <w:pPr>
              <w:rPr>
                <w:b/>
              </w:rPr>
            </w:pPr>
          </w:p>
          <w:p w:rsidR="001C1B56" w:rsidRPr="00716F60" w:rsidRDefault="001C1B56" w:rsidP="00274425">
            <w:pPr>
              <w:rPr>
                <w:b/>
              </w:rPr>
            </w:pPr>
          </w:p>
          <w:p w:rsidR="001C1B56" w:rsidRPr="00716F60" w:rsidRDefault="001C1B56" w:rsidP="00274425">
            <w:pPr>
              <w:rPr>
                <w:b/>
              </w:rPr>
            </w:pPr>
          </w:p>
          <w:p w:rsidR="00F60619" w:rsidRPr="00716F60" w:rsidRDefault="00F60619">
            <w:pPr>
              <w:rPr>
                <w:b/>
              </w:rPr>
            </w:pPr>
          </w:p>
        </w:tc>
        <w:tc>
          <w:tcPr>
            <w:tcW w:w="9259" w:type="dxa"/>
            <w:tcBorders>
              <w:top w:val="single" w:sz="4" w:space="0" w:color="auto"/>
              <w:left w:val="single" w:sz="4" w:space="0" w:color="auto"/>
              <w:bottom w:val="single" w:sz="4" w:space="0" w:color="auto"/>
              <w:right w:val="single" w:sz="4" w:space="0" w:color="auto"/>
            </w:tcBorders>
          </w:tcPr>
          <w:p w:rsidR="004C229D" w:rsidRPr="00716F60" w:rsidRDefault="004C229D" w:rsidP="004C229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eastAsia="Times New Roman" w:cs="Arial"/>
                <w:b/>
              </w:rPr>
            </w:pPr>
            <w:r w:rsidRPr="00716F60">
              <w:rPr>
                <w:b/>
                <w:bCs/>
                <w:color w:val="000000"/>
              </w:rPr>
              <w:t>Continuous Improvement and Strategic Planning</w:t>
            </w:r>
            <w:r w:rsidRPr="00716F60">
              <w:rPr>
                <w:rFonts w:eastAsia="Times New Roman" w:cs="Arial"/>
                <w:b/>
              </w:rPr>
              <w:t xml:space="preserve"> (Pages 24-25) </w:t>
            </w:r>
          </w:p>
          <w:p w:rsidR="004C229D" w:rsidRPr="00716F60" w:rsidRDefault="004C229D" w:rsidP="004C229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eastAsia="Times New Roman" w:cs="Arial"/>
                <w:b/>
              </w:rPr>
            </w:pPr>
            <w:r w:rsidRPr="00716F60">
              <w:rPr>
                <w:rFonts w:eastAsia="Times New Roman" w:cs="Arial"/>
                <w:b/>
              </w:rPr>
              <w:t>(Also referenced in Policy 2510)</w:t>
            </w:r>
          </w:p>
          <w:p w:rsidR="004C229D" w:rsidRPr="00716F60" w:rsidRDefault="004C229D" w:rsidP="004C229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716F60">
              <w:rPr>
                <w:bCs/>
                <w:color w:val="000000"/>
              </w:rPr>
              <w:t>Each school is accountable for implementing continuous improvement and strategic planning as outlined in Policy 2510</w:t>
            </w:r>
            <w:r w:rsidRPr="00716F60">
              <w:t xml:space="preserve"> </w:t>
            </w:r>
            <w:r w:rsidRPr="00716F60">
              <w:rPr>
                <w:bCs/>
                <w:color w:val="000000"/>
              </w:rPr>
              <w:t xml:space="preserve">and to work toward achieving high levels of student performance as specified below: </w:t>
            </w:r>
          </w:p>
          <w:p w:rsidR="004C229D" w:rsidRPr="00716F60" w:rsidRDefault="004C229D" w:rsidP="004C229D">
            <w:pPr>
              <w:pStyle w:val="ListParagraph"/>
              <w:numPr>
                <w:ilvl w:val="0"/>
                <w:numId w:val="4"/>
              </w:numPr>
              <w:snapToGrid w:val="0"/>
              <w:ind w:left="399" w:hanging="270"/>
              <w:jc w:val="both"/>
              <w:rPr>
                <w:rFonts w:eastAsia="Times New Roman" w:cs="Arial"/>
              </w:rPr>
            </w:pPr>
            <w:r w:rsidRPr="00716F60">
              <w:t xml:space="preserve">Create a </w:t>
            </w:r>
            <w:r w:rsidRPr="00716F60">
              <w:rPr>
                <w:bCs/>
                <w:color w:val="000000"/>
              </w:rPr>
              <w:t>Structure and Process for Continuous Improvement including:</w:t>
            </w:r>
          </w:p>
          <w:p w:rsidR="004C229D" w:rsidRPr="00716F60" w:rsidRDefault="004C229D" w:rsidP="004C229D">
            <w:pPr>
              <w:pStyle w:val="ListParagraph"/>
              <w:numPr>
                <w:ilvl w:val="1"/>
                <w:numId w:val="4"/>
              </w:numPr>
              <w:snapToGrid w:val="0"/>
              <w:ind w:left="702" w:hanging="270"/>
              <w:jc w:val="both"/>
              <w:rPr>
                <w:rFonts w:eastAsia="Times New Roman" w:cs="Arial"/>
              </w:rPr>
            </w:pPr>
            <w:r w:rsidRPr="00716F60">
              <w:t>a designated team or committee(s) who orchestrate the school’s improvement efforts (S2,FB)</w:t>
            </w:r>
          </w:p>
          <w:p w:rsidR="004C229D" w:rsidRPr="00716F60" w:rsidRDefault="004C229D" w:rsidP="004C229D">
            <w:pPr>
              <w:pStyle w:val="ListParagraph"/>
              <w:numPr>
                <w:ilvl w:val="1"/>
                <w:numId w:val="4"/>
              </w:numPr>
              <w:snapToGrid w:val="0"/>
              <w:ind w:left="702" w:hanging="270"/>
              <w:jc w:val="both"/>
              <w:rPr>
                <w:rFonts w:eastAsia="Times New Roman" w:cs="Arial"/>
              </w:rPr>
            </w:pPr>
            <w:r w:rsidRPr="00716F60">
              <w:t>on-going professional development and research on how to best improve school and classroom processes and strategies (S5,FA)</w:t>
            </w:r>
          </w:p>
          <w:p w:rsidR="004C229D" w:rsidRPr="00716F60" w:rsidRDefault="004C229D" w:rsidP="004C229D">
            <w:pPr>
              <w:pStyle w:val="ListParagraph"/>
              <w:numPr>
                <w:ilvl w:val="0"/>
                <w:numId w:val="4"/>
              </w:numPr>
              <w:snapToGrid w:val="0"/>
              <w:ind w:left="399" w:hanging="270"/>
              <w:jc w:val="both"/>
              <w:rPr>
                <w:rFonts w:eastAsia="Times New Roman" w:cs="Arial"/>
              </w:rPr>
            </w:pPr>
            <w:r w:rsidRPr="00716F60">
              <w:t>Performance Data - guided by the school system but must include in-depth review of school accountability data and other data sources appropriate to the programmatic level of the school. (S3,FA)</w:t>
            </w:r>
          </w:p>
          <w:p w:rsidR="004C229D" w:rsidRPr="00716F60" w:rsidRDefault="004C229D" w:rsidP="004C229D">
            <w:pPr>
              <w:pStyle w:val="ListParagraph"/>
              <w:numPr>
                <w:ilvl w:val="0"/>
                <w:numId w:val="4"/>
              </w:numPr>
              <w:snapToGrid w:val="0"/>
              <w:ind w:left="399" w:hanging="270"/>
              <w:jc w:val="both"/>
              <w:rPr>
                <w:rFonts w:eastAsia="Times New Roman" w:cs="Arial"/>
              </w:rPr>
            </w:pPr>
            <w:r w:rsidRPr="00716F60">
              <w:t>Assess School and Classroom Learning Conditions – all staff must utilize:</w:t>
            </w:r>
          </w:p>
          <w:p w:rsidR="004C229D" w:rsidRPr="00716F60" w:rsidRDefault="004C229D" w:rsidP="004C229D">
            <w:pPr>
              <w:pStyle w:val="ListParagraph"/>
              <w:numPr>
                <w:ilvl w:val="1"/>
                <w:numId w:val="4"/>
              </w:numPr>
              <w:snapToGrid w:val="0"/>
              <w:ind w:left="702" w:hanging="270"/>
              <w:jc w:val="both"/>
              <w:rPr>
                <w:rFonts w:eastAsia="Times New Roman" w:cs="Arial"/>
              </w:rPr>
            </w:pPr>
            <w:r w:rsidRPr="00716F60">
              <w:t>the School Monitoring Report (which in part is based on classroom learning conditions defined in Policy 2322 (S7,FC)</w:t>
            </w:r>
          </w:p>
          <w:p w:rsidR="004C229D" w:rsidRPr="00716F60" w:rsidRDefault="004C229D" w:rsidP="004C229D">
            <w:pPr>
              <w:pStyle w:val="ListParagraph"/>
              <w:numPr>
                <w:ilvl w:val="1"/>
                <w:numId w:val="4"/>
              </w:numPr>
              <w:snapToGrid w:val="0"/>
              <w:ind w:left="702" w:hanging="270"/>
              <w:jc w:val="both"/>
              <w:rPr>
                <w:rFonts w:eastAsia="Times New Roman" w:cs="Arial"/>
              </w:rPr>
            </w:pPr>
            <w:r w:rsidRPr="00716F60">
              <w:t>summary employee evaluation data and professional development needs to guide improvement priorities (S5,FC)</w:t>
            </w:r>
          </w:p>
          <w:p w:rsidR="004C229D" w:rsidRPr="00716F60" w:rsidRDefault="004C229D" w:rsidP="004C229D">
            <w:pPr>
              <w:pStyle w:val="ListParagraph"/>
              <w:numPr>
                <w:ilvl w:val="0"/>
                <w:numId w:val="4"/>
              </w:numPr>
              <w:snapToGrid w:val="0"/>
              <w:ind w:left="399" w:hanging="270"/>
              <w:jc w:val="both"/>
              <w:rPr>
                <w:rFonts w:eastAsia="Times New Roman" w:cs="Arial"/>
              </w:rPr>
            </w:pPr>
            <w:r w:rsidRPr="00716F60">
              <w:t>Develop and Implement the Strategic Plan. The Plan and process shall include: (S7,FC)</w:t>
            </w:r>
          </w:p>
          <w:p w:rsidR="004C229D" w:rsidRPr="00716F60" w:rsidRDefault="004C229D" w:rsidP="004C229D">
            <w:pPr>
              <w:pStyle w:val="ListParagraph"/>
              <w:numPr>
                <w:ilvl w:val="1"/>
                <w:numId w:val="4"/>
              </w:numPr>
              <w:snapToGrid w:val="0"/>
              <w:ind w:left="702" w:hanging="270"/>
              <w:jc w:val="both"/>
              <w:rPr>
                <w:rFonts w:eastAsia="Times New Roman" w:cs="Arial"/>
              </w:rPr>
            </w:pPr>
            <w:proofErr w:type="gramStart"/>
            <w:r w:rsidRPr="00716F60">
              <w:rPr>
                <w:rFonts w:eastAsia="Times New Roman" w:cs="Arial"/>
              </w:rPr>
              <w:t>school’s</w:t>
            </w:r>
            <w:proofErr w:type="gramEnd"/>
            <w:r w:rsidRPr="00716F60">
              <w:rPr>
                <w:rFonts w:eastAsia="Times New Roman" w:cs="Arial"/>
              </w:rPr>
              <w:t xml:space="preserve"> core beliefs, mission, goals, measurement evidence, action plan, and professional development needs.</w:t>
            </w:r>
          </w:p>
          <w:p w:rsidR="004C229D" w:rsidRPr="00716F60" w:rsidRDefault="004C229D" w:rsidP="004C229D">
            <w:pPr>
              <w:pStyle w:val="ListParagraph"/>
              <w:numPr>
                <w:ilvl w:val="1"/>
                <w:numId w:val="4"/>
              </w:numPr>
              <w:snapToGrid w:val="0"/>
              <w:ind w:left="702" w:hanging="270"/>
              <w:jc w:val="both"/>
              <w:rPr>
                <w:rFonts w:eastAsia="Times New Roman" w:cs="Arial"/>
              </w:rPr>
            </w:pPr>
            <w:proofErr w:type="gramStart"/>
            <w:r w:rsidRPr="00716F60">
              <w:t>direction</w:t>
            </w:r>
            <w:proofErr w:type="gramEnd"/>
            <w:r w:rsidRPr="00716F60">
              <w:t xml:space="preserve"> of the principal with collective involvement and input from the staff and the LSIC.</w:t>
            </w:r>
          </w:p>
          <w:p w:rsidR="004C229D" w:rsidRPr="00716F60" w:rsidRDefault="004C229D" w:rsidP="004C229D">
            <w:pPr>
              <w:pStyle w:val="ListParagraph"/>
              <w:numPr>
                <w:ilvl w:val="1"/>
                <w:numId w:val="4"/>
              </w:numPr>
              <w:snapToGrid w:val="0"/>
              <w:ind w:left="702" w:hanging="270"/>
              <w:jc w:val="both"/>
              <w:rPr>
                <w:rFonts w:eastAsia="Times New Roman" w:cs="Arial"/>
              </w:rPr>
            </w:pPr>
            <w:proofErr w:type="gramStart"/>
            <w:r w:rsidRPr="00716F60">
              <w:t>strategies</w:t>
            </w:r>
            <w:proofErr w:type="gramEnd"/>
            <w:r w:rsidRPr="00716F60">
              <w:t xml:space="preserve"> and action plan based on examination of best practices and innovative approaches to improving student performance and addressing student needs.</w:t>
            </w:r>
          </w:p>
          <w:p w:rsidR="004C229D" w:rsidRPr="00716F60" w:rsidRDefault="004C229D" w:rsidP="004C229D">
            <w:pPr>
              <w:pStyle w:val="ListParagraph"/>
              <w:numPr>
                <w:ilvl w:val="1"/>
                <w:numId w:val="4"/>
              </w:numPr>
              <w:ind w:left="702" w:hanging="270"/>
              <w:rPr>
                <w:rFonts w:eastAsia="Times New Roman" w:cs="Arial"/>
              </w:rPr>
            </w:pPr>
            <w:proofErr w:type="gramStart"/>
            <w:r w:rsidRPr="00716F60">
              <w:t>principal</w:t>
            </w:r>
            <w:proofErr w:type="gramEnd"/>
            <w:r w:rsidRPr="00716F60">
              <w:t xml:space="preserve"> monitoring the implementation of the plan and for communicating progress to staff and stakeholders.  </w:t>
            </w:r>
          </w:p>
          <w:p w:rsidR="00274425" w:rsidRPr="00716F60" w:rsidRDefault="004C229D" w:rsidP="004C229D">
            <w:pPr>
              <w:pStyle w:val="ListParagraph"/>
              <w:numPr>
                <w:ilvl w:val="1"/>
                <w:numId w:val="4"/>
              </w:numPr>
              <w:ind w:left="702" w:hanging="270"/>
              <w:rPr>
                <w:rFonts w:eastAsia="Times New Roman" w:cs="Arial"/>
              </w:rPr>
            </w:pPr>
            <w:proofErr w:type="gramStart"/>
            <w:r w:rsidRPr="00716F60">
              <w:t>updates</w:t>
            </w:r>
            <w:proofErr w:type="gramEnd"/>
            <w:r w:rsidRPr="00716F60">
              <w:t xml:space="preserve"> and revisions as data and information dictate based on the tenets of continuous improvement.  (Annual updates to the plan must consider the OEPA School Monitoring Report when this report identifies deficits in quality or compliance.)</w:t>
            </w:r>
          </w:p>
        </w:tc>
      </w:tr>
    </w:tbl>
    <w:p w:rsidR="00BA16C4" w:rsidRDefault="00BA16C4"/>
    <w:sectPr w:rsidR="00BA16C4" w:rsidSect="00472F7B">
      <w:pgSz w:w="12240" w:h="15840"/>
      <w:pgMar w:top="81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190"/>
    <w:multiLevelType w:val="hybridMultilevel"/>
    <w:tmpl w:val="3AFA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870B6"/>
    <w:multiLevelType w:val="hybridMultilevel"/>
    <w:tmpl w:val="4A309DCE"/>
    <w:lvl w:ilvl="0" w:tplc="4F92F3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1C0FF8"/>
    <w:multiLevelType w:val="hybridMultilevel"/>
    <w:tmpl w:val="BFCE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782131"/>
    <w:multiLevelType w:val="hybridMultilevel"/>
    <w:tmpl w:val="34063BB6"/>
    <w:lvl w:ilvl="0" w:tplc="202A49AA">
      <w:start w:val="1"/>
      <w:numFmt w:val="bullet"/>
      <w:lvlText w:val=""/>
      <w:lvlJc w:val="left"/>
      <w:pPr>
        <w:ind w:left="573" w:hanging="360"/>
      </w:pPr>
      <w:rPr>
        <w:rFonts w:ascii="Symbol" w:hAnsi="Symbol" w:hint="default"/>
        <w:sz w:val="22"/>
        <w:szCs w:val="22"/>
      </w:rPr>
    </w:lvl>
    <w:lvl w:ilvl="1" w:tplc="04090003">
      <w:start w:val="1"/>
      <w:numFmt w:val="bullet"/>
      <w:lvlText w:val="o"/>
      <w:lvlJc w:val="left"/>
      <w:pPr>
        <w:ind w:left="1293" w:hanging="360"/>
      </w:pPr>
      <w:rPr>
        <w:rFonts w:ascii="Courier New" w:hAnsi="Courier New" w:cs="Courier New" w:hint="default"/>
      </w:rPr>
    </w:lvl>
    <w:lvl w:ilvl="2" w:tplc="04090005">
      <w:start w:val="1"/>
      <w:numFmt w:val="bullet"/>
      <w:lvlText w:val=""/>
      <w:lvlJc w:val="left"/>
      <w:pPr>
        <w:ind w:left="2013" w:hanging="360"/>
      </w:pPr>
      <w:rPr>
        <w:rFonts w:ascii="Wingdings" w:hAnsi="Wingdings" w:hint="default"/>
      </w:rPr>
    </w:lvl>
    <w:lvl w:ilvl="3" w:tplc="04090001">
      <w:start w:val="1"/>
      <w:numFmt w:val="bullet"/>
      <w:lvlText w:val=""/>
      <w:lvlJc w:val="left"/>
      <w:pPr>
        <w:ind w:left="2733" w:hanging="360"/>
      </w:pPr>
      <w:rPr>
        <w:rFonts w:ascii="Symbol" w:hAnsi="Symbol" w:hint="default"/>
      </w:rPr>
    </w:lvl>
    <w:lvl w:ilvl="4" w:tplc="04090003">
      <w:start w:val="1"/>
      <w:numFmt w:val="bullet"/>
      <w:lvlText w:val="o"/>
      <w:lvlJc w:val="left"/>
      <w:pPr>
        <w:ind w:left="3453" w:hanging="360"/>
      </w:pPr>
      <w:rPr>
        <w:rFonts w:ascii="Courier New" w:hAnsi="Courier New" w:cs="Courier New" w:hint="default"/>
      </w:rPr>
    </w:lvl>
    <w:lvl w:ilvl="5" w:tplc="04090005">
      <w:start w:val="1"/>
      <w:numFmt w:val="bullet"/>
      <w:lvlText w:val=""/>
      <w:lvlJc w:val="left"/>
      <w:pPr>
        <w:ind w:left="4173" w:hanging="360"/>
      </w:pPr>
      <w:rPr>
        <w:rFonts w:ascii="Wingdings" w:hAnsi="Wingdings" w:hint="default"/>
      </w:rPr>
    </w:lvl>
    <w:lvl w:ilvl="6" w:tplc="04090001">
      <w:start w:val="1"/>
      <w:numFmt w:val="bullet"/>
      <w:lvlText w:val=""/>
      <w:lvlJc w:val="left"/>
      <w:pPr>
        <w:ind w:left="4893" w:hanging="360"/>
      </w:pPr>
      <w:rPr>
        <w:rFonts w:ascii="Symbol" w:hAnsi="Symbol" w:hint="default"/>
      </w:rPr>
    </w:lvl>
    <w:lvl w:ilvl="7" w:tplc="04090003">
      <w:start w:val="1"/>
      <w:numFmt w:val="bullet"/>
      <w:lvlText w:val="o"/>
      <w:lvlJc w:val="left"/>
      <w:pPr>
        <w:ind w:left="5613" w:hanging="360"/>
      </w:pPr>
      <w:rPr>
        <w:rFonts w:ascii="Courier New" w:hAnsi="Courier New" w:cs="Courier New" w:hint="default"/>
      </w:rPr>
    </w:lvl>
    <w:lvl w:ilvl="8" w:tplc="04090005">
      <w:start w:val="1"/>
      <w:numFmt w:val="bullet"/>
      <w:lvlText w:val=""/>
      <w:lvlJc w:val="left"/>
      <w:pPr>
        <w:ind w:left="6333" w:hanging="360"/>
      </w:pPr>
      <w:rPr>
        <w:rFonts w:ascii="Wingdings" w:hAnsi="Wingdings" w:hint="default"/>
      </w:rPr>
    </w:lvl>
  </w:abstractNum>
  <w:abstractNum w:abstractNumId="4">
    <w:nsid w:val="45B9034B"/>
    <w:multiLevelType w:val="hybridMultilevel"/>
    <w:tmpl w:val="F7122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A56BA4"/>
    <w:multiLevelType w:val="hybridMultilevel"/>
    <w:tmpl w:val="DE32A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441E41"/>
    <w:multiLevelType w:val="hybridMultilevel"/>
    <w:tmpl w:val="A89A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D0CBB"/>
    <w:multiLevelType w:val="hybridMultilevel"/>
    <w:tmpl w:val="31E6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309FA"/>
    <w:multiLevelType w:val="hybridMultilevel"/>
    <w:tmpl w:val="C64AC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CE5D94"/>
    <w:multiLevelType w:val="hybridMultilevel"/>
    <w:tmpl w:val="96887B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07" w:hanging="360"/>
      </w:pPr>
      <w:rPr>
        <w:rFonts w:ascii="Courier New" w:hAnsi="Courier New" w:cs="Courier New" w:hint="default"/>
      </w:rPr>
    </w:lvl>
    <w:lvl w:ilvl="2" w:tplc="04090005">
      <w:start w:val="1"/>
      <w:numFmt w:val="bullet"/>
      <w:lvlText w:val=""/>
      <w:lvlJc w:val="left"/>
      <w:pPr>
        <w:ind w:left="2127" w:hanging="360"/>
      </w:pPr>
      <w:rPr>
        <w:rFonts w:ascii="Wingdings" w:hAnsi="Wingdings" w:hint="default"/>
      </w:rPr>
    </w:lvl>
    <w:lvl w:ilvl="3" w:tplc="04090001">
      <w:start w:val="1"/>
      <w:numFmt w:val="bullet"/>
      <w:lvlText w:val=""/>
      <w:lvlJc w:val="left"/>
      <w:pPr>
        <w:ind w:left="2847" w:hanging="360"/>
      </w:pPr>
      <w:rPr>
        <w:rFonts w:ascii="Symbol" w:hAnsi="Symbol" w:hint="default"/>
      </w:rPr>
    </w:lvl>
    <w:lvl w:ilvl="4" w:tplc="04090003">
      <w:start w:val="1"/>
      <w:numFmt w:val="bullet"/>
      <w:lvlText w:val="o"/>
      <w:lvlJc w:val="left"/>
      <w:pPr>
        <w:ind w:left="3567" w:hanging="360"/>
      </w:pPr>
      <w:rPr>
        <w:rFonts w:ascii="Courier New" w:hAnsi="Courier New" w:cs="Courier New" w:hint="default"/>
      </w:rPr>
    </w:lvl>
    <w:lvl w:ilvl="5" w:tplc="04090005">
      <w:start w:val="1"/>
      <w:numFmt w:val="bullet"/>
      <w:lvlText w:val=""/>
      <w:lvlJc w:val="left"/>
      <w:pPr>
        <w:ind w:left="4287" w:hanging="360"/>
      </w:pPr>
      <w:rPr>
        <w:rFonts w:ascii="Wingdings" w:hAnsi="Wingdings" w:hint="default"/>
      </w:rPr>
    </w:lvl>
    <w:lvl w:ilvl="6" w:tplc="04090001">
      <w:start w:val="1"/>
      <w:numFmt w:val="bullet"/>
      <w:lvlText w:val=""/>
      <w:lvlJc w:val="left"/>
      <w:pPr>
        <w:ind w:left="5007" w:hanging="360"/>
      </w:pPr>
      <w:rPr>
        <w:rFonts w:ascii="Symbol" w:hAnsi="Symbol" w:hint="default"/>
      </w:rPr>
    </w:lvl>
    <w:lvl w:ilvl="7" w:tplc="04090003">
      <w:start w:val="1"/>
      <w:numFmt w:val="bullet"/>
      <w:lvlText w:val="o"/>
      <w:lvlJc w:val="left"/>
      <w:pPr>
        <w:ind w:left="5727" w:hanging="360"/>
      </w:pPr>
      <w:rPr>
        <w:rFonts w:ascii="Courier New" w:hAnsi="Courier New" w:cs="Courier New" w:hint="default"/>
      </w:rPr>
    </w:lvl>
    <w:lvl w:ilvl="8" w:tplc="04090005">
      <w:start w:val="1"/>
      <w:numFmt w:val="bullet"/>
      <w:lvlText w:val=""/>
      <w:lvlJc w:val="left"/>
      <w:pPr>
        <w:ind w:left="6447"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1"/>
  </w:num>
  <w:num w:numId="6">
    <w:abstractNumId w:val="0"/>
  </w:num>
  <w:num w:numId="7">
    <w:abstractNumId w:val="6"/>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19"/>
    <w:rsid w:val="001C1B56"/>
    <w:rsid w:val="00222AAE"/>
    <w:rsid w:val="00274425"/>
    <w:rsid w:val="003C5161"/>
    <w:rsid w:val="003E362B"/>
    <w:rsid w:val="00472F7B"/>
    <w:rsid w:val="004C229D"/>
    <w:rsid w:val="005B3A9A"/>
    <w:rsid w:val="005E38DF"/>
    <w:rsid w:val="00625155"/>
    <w:rsid w:val="00716F60"/>
    <w:rsid w:val="00736842"/>
    <w:rsid w:val="007B3650"/>
    <w:rsid w:val="00895442"/>
    <w:rsid w:val="008F4558"/>
    <w:rsid w:val="00BA16C4"/>
    <w:rsid w:val="00BA724C"/>
    <w:rsid w:val="00BF143E"/>
    <w:rsid w:val="00C70F3D"/>
    <w:rsid w:val="00F60619"/>
    <w:rsid w:val="00FB0EA5"/>
    <w:rsid w:val="00FC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1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19"/>
    <w:pPr>
      <w:ind w:left="720"/>
      <w:contextualSpacing/>
    </w:pPr>
  </w:style>
  <w:style w:type="table" w:styleId="TableGrid">
    <w:name w:val="Table Grid"/>
    <w:basedOn w:val="TableNormal"/>
    <w:uiPriority w:val="59"/>
    <w:rsid w:val="00F6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1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19"/>
    <w:pPr>
      <w:ind w:left="720"/>
      <w:contextualSpacing/>
    </w:pPr>
  </w:style>
  <w:style w:type="table" w:styleId="TableGrid">
    <w:name w:val="Table Grid"/>
    <w:basedOn w:val="TableNormal"/>
    <w:uiPriority w:val="59"/>
    <w:rsid w:val="00F6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0284">
      <w:bodyDiv w:val="1"/>
      <w:marLeft w:val="0"/>
      <w:marRight w:val="0"/>
      <w:marTop w:val="0"/>
      <w:marBottom w:val="0"/>
      <w:divBdr>
        <w:top w:val="none" w:sz="0" w:space="0" w:color="auto"/>
        <w:left w:val="none" w:sz="0" w:space="0" w:color="auto"/>
        <w:bottom w:val="none" w:sz="0" w:space="0" w:color="auto"/>
        <w:right w:val="none" w:sz="0" w:space="0" w:color="auto"/>
      </w:divBdr>
    </w:div>
    <w:div w:id="1445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2014-06-05T14:23:00Z</cp:lastPrinted>
  <dcterms:created xsi:type="dcterms:W3CDTF">2014-06-25T15:33:00Z</dcterms:created>
  <dcterms:modified xsi:type="dcterms:W3CDTF">2014-06-25T15:33:00Z</dcterms:modified>
</cp:coreProperties>
</file>