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03" w:rsidRPr="00F37473" w:rsidRDefault="00D96A03" w:rsidP="004E4441">
      <w:bookmarkStart w:id="0" w:name="_GoBack"/>
      <w:bookmarkEnd w:id="0"/>
      <w:r w:rsidRPr="00F37473">
        <w:t>RESOURCE DOCUMENT</w:t>
      </w:r>
    </w:p>
    <w:p w:rsidR="00D96A03" w:rsidRPr="00F37473" w:rsidRDefault="00D96A03" w:rsidP="00633606">
      <w:pPr>
        <w:spacing w:after="0"/>
        <w:jc w:val="center"/>
        <w:rPr>
          <w:b/>
          <w:sz w:val="28"/>
          <w:szCs w:val="28"/>
        </w:rPr>
      </w:pPr>
      <w:r w:rsidRPr="00F37473">
        <w:rPr>
          <w:b/>
          <w:sz w:val="28"/>
          <w:szCs w:val="28"/>
        </w:rPr>
        <w:t>C</w:t>
      </w:r>
      <w:r>
        <w:rPr>
          <w:b/>
          <w:sz w:val="28"/>
          <w:szCs w:val="28"/>
        </w:rPr>
        <w:t>OMPLIANCE CHECKLIST: POLICY 2340</w:t>
      </w:r>
    </w:p>
    <w:p w:rsidR="00D96A03" w:rsidRDefault="00D96A03" w:rsidP="00633606">
      <w:pPr>
        <w:spacing w:after="0"/>
        <w:jc w:val="center"/>
        <w:rPr>
          <w:b/>
          <w:sz w:val="24"/>
          <w:szCs w:val="24"/>
        </w:rPr>
      </w:pPr>
      <w:r>
        <w:rPr>
          <w:b/>
          <w:sz w:val="24"/>
          <w:szCs w:val="24"/>
        </w:rPr>
        <w:t>West Virginia Measures of Academic Progress</w:t>
      </w:r>
    </w:p>
    <w:p w:rsidR="00D96A03" w:rsidRPr="001A2983" w:rsidRDefault="00D96A03" w:rsidP="00633606">
      <w:pPr>
        <w:spacing w:after="0"/>
        <w:jc w:val="center"/>
        <w:rPr>
          <w:b/>
          <w:sz w:val="16"/>
          <w:szCs w:val="16"/>
        </w:rPr>
      </w:pPr>
    </w:p>
    <w:p w:rsidR="00D96A03" w:rsidRPr="00C31C1E" w:rsidRDefault="00D96A03" w:rsidP="00633606">
      <w:pPr>
        <w:spacing w:after="0"/>
        <w:jc w:val="both"/>
      </w:pPr>
      <w:r w:rsidRPr="00C31C1E">
        <w:t>DIRECTIONS:  To be considered fully compliant with Policy 2340, your school must adhere to the core areas outlined in Policy 2340.  Before you begin self-rating school compliance, you may wish to review the sections of the policy identified in the checklist.   These areas will be examined during the on-site review.  To determine your level of compliance, use the following guide:</w:t>
      </w:r>
    </w:p>
    <w:p w:rsidR="00D96A03" w:rsidRPr="00C31C1E" w:rsidRDefault="00D96A03" w:rsidP="00633606">
      <w:pPr>
        <w:spacing w:after="0"/>
        <w:jc w:val="both"/>
      </w:pPr>
    </w:p>
    <w:p w:rsidR="00D96A03" w:rsidRPr="00C31C1E" w:rsidRDefault="00D96A03" w:rsidP="00633606">
      <w:pPr>
        <w:spacing w:after="0"/>
        <w:ind w:left="720"/>
        <w:jc w:val="both"/>
      </w:pPr>
      <w:r w:rsidRPr="00C31C1E">
        <w:t xml:space="preserve">    Full Compliance = Compliant with </w:t>
      </w:r>
      <w:r w:rsidRPr="00C31C1E">
        <w:rPr>
          <w:b/>
        </w:rPr>
        <w:t>all</w:t>
      </w:r>
      <w:r w:rsidRPr="00C31C1E">
        <w:t xml:space="preserve"> items listed below.</w:t>
      </w:r>
    </w:p>
    <w:p w:rsidR="00D96A03" w:rsidRPr="00C31C1E" w:rsidRDefault="00D96A03" w:rsidP="00633606">
      <w:pPr>
        <w:spacing w:after="0"/>
        <w:ind w:left="720"/>
        <w:jc w:val="both"/>
      </w:pPr>
      <w:r w:rsidRPr="00C31C1E">
        <w:t xml:space="preserve">    Partial Compliance = Compliant with </w:t>
      </w:r>
      <w:r w:rsidRPr="00C31C1E">
        <w:rPr>
          <w:b/>
        </w:rPr>
        <w:t>more than half</w:t>
      </w:r>
      <w:r w:rsidRPr="00C31C1E">
        <w:t xml:space="preserve"> the items listed below.</w:t>
      </w:r>
    </w:p>
    <w:p w:rsidR="00D96A03" w:rsidRPr="00C31C1E" w:rsidRDefault="00D96A03" w:rsidP="00633606">
      <w:pPr>
        <w:spacing w:after="0"/>
        <w:ind w:left="720"/>
        <w:jc w:val="both"/>
      </w:pPr>
      <w:r w:rsidRPr="00C31C1E">
        <w:t xml:space="preserve">    Non-Compliant = Compliant with </w:t>
      </w:r>
      <w:r w:rsidRPr="00C31C1E">
        <w:rPr>
          <w:b/>
        </w:rPr>
        <w:t>half or less</w:t>
      </w:r>
      <w:r w:rsidRPr="00C31C1E">
        <w:t xml:space="preserve"> of the items below.</w:t>
      </w:r>
    </w:p>
    <w:p w:rsidR="00D96A03" w:rsidRPr="00C31C1E" w:rsidRDefault="00D96A03" w:rsidP="00633606">
      <w:pPr>
        <w:spacing w:after="0"/>
        <w:jc w:val="both"/>
      </w:pPr>
    </w:p>
    <w:p w:rsidR="00D96A03" w:rsidRPr="00C31C1E" w:rsidRDefault="00D96A03" w:rsidP="00633606">
      <w:pPr>
        <w:spacing w:after="0"/>
        <w:jc w:val="both"/>
      </w:pPr>
      <w:r w:rsidRPr="00C31C1E">
        <w:t>The following items will be reviewed (1) training agendas and sign-in sheets; (2) secure test storage area; and (3) by interviewing staff and students.</w:t>
      </w:r>
    </w:p>
    <w:p w:rsidR="00D96A03" w:rsidRPr="00C31C1E" w:rsidRDefault="00D96A03" w:rsidP="00D96A03">
      <w:pPr>
        <w:tabs>
          <w:tab w:val="left" w:pos="0"/>
        </w:tabs>
        <w:spacing w:after="0"/>
        <w:rPr>
          <w:b/>
        </w:rPr>
      </w:pPr>
      <w:r w:rsidRPr="00C31C1E">
        <w:rPr>
          <w:b/>
        </w:rPr>
        <w:t>(S_</w:t>
      </w:r>
      <w:proofErr w:type="gramStart"/>
      <w:r w:rsidRPr="00C31C1E">
        <w:rPr>
          <w:b/>
        </w:rPr>
        <w:t>,F</w:t>
      </w:r>
      <w:proofErr w:type="gramEnd"/>
      <w:r w:rsidRPr="00C31C1E">
        <w:rPr>
          <w:b/>
        </w:rPr>
        <w:t>_ below identify the Standard and Function correlating to the High Quality Standards in Policy 2322).</w:t>
      </w:r>
    </w:p>
    <w:tbl>
      <w:tblPr>
        <w:tblStyle w:val="TableGrid"/>
        <w:tblW w:w="0" w:type="auto"/>
        <w:tblLayout w:type="fixed"/>
        <w:tblLook w:val="04A0" w:firstRow="1" w:lastRow="0" w:firstColumn="1" w:lastColumn="0" w:noHBand="0" w:noVBand="1"/>
      </w:tblPr>
      <w:tblGrid>
        <w:gridCol w:w="1368"/>
        <w:gridCol w:w="9648"/>
      </w:tblGrid>
      <w:tr w:rsidR="003B2328" w:rsidTr="00C31C1E">
        <w:tc>
          <w:tcPr>
            <w:tcW w:w="1368" w:type="dxa"/>
          </w:tcPr>
          <w:p w:rsidR="003B2328" w:rsidRPr="00C31C1E" w:rsidRDefault="003B2328" w:rsidP="00C254E9">
            <w:pPr>
              <w:rPr>
                <w:b/>
              </w:rPr>
            </w:pPr>
            <w:r w:rsidRPr="00C31C1E">
              <w:rPr>
                <w:b/>
              </w:rPr>
              <w:t>Compliance</w:t>
            </w:r>
          </w:p>
        </w:tc>
        <w:tc>
          <w:tcPr>
            <w:tcW w:w="9648" w:type="dxa"/>
          </w:tcPr>
          <w:p w:rsidR="003B2328" w:rsidRPr="00F37473" w:rsidRDefault="003B2328" w:rsidP="00C254E9">
            <w:pPr>
              <w:jc w:val="center"/>
              <w:rPr>
                <w:b/>
              </w:rPr>
            </w:pPr>
            <w:r>
              <w:rPr>
                <w:b/>
              </w:rPr>
              <w:t>Core Areas of Policy 2340</w:t>
            </w:r>
          </w:p>
        </w:tc>
      </w:tr>
      <w:tr w:rsidR="00D96A03" w:rsidTr="00C31C1E">
        <w:trPr>
          <w:trHeight w:val="467"/>
        </w:trPr>
        <w:tc>
          <w:tcPr>
            <w:tcW w:w="1368" w:type="dxa"/>
          </w:tcPr>
          <w:p w:rsidR="00D96A03" w:rsidRPr="00C31C1E" w:rsidRDefault="00D96A03" w:rsidP="00EA375B">
            <w:pPr>
              <w:rPr>
                <w:b/>
              </w:rPr>
            </w:pPr>
            <w:r w:rsidRPr="00C31C1E">
              <w:rPr>
                <w:b/>
              </w:rPr>
              <w:t xml:space="preserve"> Yes      No</w:t>
            </w:r>
          </w:p>
        </w:tc>
        <w:tc>
          <w:tcPr>
            <w:tcW w:w="9648" w:type="dxa"/>
          </w:tcPr>
          <w:p w:rsidR="00D96A03" w:rsidRPr="00C31C1E" w:rsidRDefault="00D96A03" w:rsidP="00C31C1E">
            <w:pPr>
              <w:pStyle w:val="ListParagraph"/>
              <w:numPr>
                <w:ilvl w:val="0"/>
                <w:numId w:val="2"/>
              </w:numPr>
              <w:ind w:left="432"/>
              <w:jc w:val="both"/>
            </w:pPr>
            <w:r w:rsidRPr="00C31C1E">
              <w:rPr>
                <w:rFonts w:ascii="Arial" w:hAnsi="Arial" w:cs="Arial"/>
              </w:rPr>
              <w:t xml:space="preserve">Students, examiners, and technology specialists shall be monitored to ensure that appropriate test taking procedures and test security measures are followed. (Policy 2340; Appendix A) </w:t>
            </w:r>
            <w:r w:rsidRPr="00C31C1E">
              <w:rPr>
                <w:rFonts w:ascii="Arial" w:eastAsia="Times New Roman" w:hAnsi="Arial" w:cs="Arial"/>
              </w:rPr>
              <w:t xml:space="preserve"> (S2,FA)</w:t>
            </w:r>
          </w:p>
        </w:tc>
      </w:tr>
      <w:tr w:rsidR="00D96A03" w:rsidTr="00C31C1E">
        <w:trPr>
          <w:trHeight w:val="917"/>
        </w:trPr>
        <w:tc>
          <w:tcPr>
            <w:tcW w:w="1368" w:type="dxa"/>
          </w:tcPr>
          <w:p w:rsidR="00D96A03" w:rsidRPr="00C31C1E" w:rsidRDefault="00D96A03" w:rsidP="00C254E9">
            <w:pPr>
              <w:rPr>
                <w:b/>
              </w:rPr>
            </w:pPr>
            <w:r w:rsidRPr="00C31C1E">
              <w:rPr>
                <w:b/>
              </w:rPr>
              <w:t>Yes       No</w:t>
            </w:r>
          </w:p>
        </w:tc>
        <w:tc>
          <w:tcPr>
            <w:tcW w:w="9648" w:type="dxa"/>
          </w:tcPr>
          <w:p w:rsidR="00D96A03" w:rsidRPr="00C31C1E" w:rsidRDefault="00D96A03" w:rsidP="00C31C1E">
            <w:pPr>
              <w:pStyle w:val="ListParagraph"/>
              <w:numPr>
                <w:ilvl w:val="0"/>
                <w:numId w:val="2"/>
              </w:numPr>
              <w:spacing w:line="276" w:lineRule="auto"/>
              <w:ind w:left="432"/>
              <w:jc w:val="both"/>
              <w:rPr>
                <w:rFonts w:ascii="Times New Roman" w:eastAsia="Times New Roman" w:hAnsi="Times New Roman" w:cs="Times New Roman"/>
              </w:rPr>
            </w:pPr>
            <w:r w:rsidRPr="00C31C1E">
              <w:rPr>
                <w:rFonts w:ascii="Arial" w:eastAsia="Times New Roman" w:hAnsi="Arial" w:cs="Arial"/>
              </w:rPr>
              <w:t>All public school students with disabilities who are eligible for services as defined in Policy 2419 shall participate in the assessments required under the West Virginia Measures of Academic Progress at the grade level in which they are enrolled with appropriate accommodations, if any, as determined by their IEP Team. (Policy 2340; 4.3)</w:t>
            </w:r>
            <w:r w:rsidRPr="00C31C1E">
              <w:rPr>
                <w:rFonts w:ascii="Times New Roman" w:eastAsia="Times New Roman" w:hAnsi="Times New Roman" w:cs="Times New Roman"/>
              </w:rPr>
              <w:t xml:space="preserve"> </w:t>
            </w:r>
            <w:r w:rsidRPr="00C31C1E">
              <w:rPr>
                <w:rFonts w:ascii="Arial" w:eastAsia="Times New Roman" w:hAnsi="Arial" w:cs="Arial"/>
              </w:rPr>
              <w:t>(S2,FA)</w:t>
            </w:r>
          </w:p>
        </w:tc>
      </w:tr>
      <w:tr w:rsidR="00D96A03" w:rsidTr="00C31C1E">
        <w:trPr>
          <w:trHeight w:val="1232"/>
        </w:trPr>
        <w:tc>
          <w:tcPr>
            <w:tcW w:w="1368" w:type="dxa"/>
          </w:tcPr>
          <w:p w:rsidR="00D96A03" w:rsidRPr="00C31C1E" w:rsidRDefault="00D96A03" w:rsidP="00C254E9">
            <w:pPr>
              <w:rPr>
                <w:b/>
              </w:rPr>
            </w:pPr>
            <w:r w:rsidRPr="00C31C1E">
              <w:rPr>
                <w:b/>
              </w:rPr>
              <w:t>Yes       No</w:t>
            </w:r>
          </w:p>
        </w:tc>
        <w:tc>
          <w:tcPr>
            <w:tcW w:w="9648" w:type="dxa"/>
          </w:tcPr>
          <w:p w:rsidR="00D96A03" w:rsidRPr="00C31C1E" w:rsidRDefault="00D96A03" w:rsidP="00C31C1E">
            <w:pPr>
              <w:pStyle w:val="ListParagraph"/>
              <w:numPr>
                <w:ilvl w:val="0"/>
                <w:numId w:val="2"/>
              </w:numPr>
              <w:spacing w:line="276" w:lineRule="auto"/>
              <w:ind w:left="432"/>
              <w:jc w:val="both"/>
            </w:pPr>
            <w:r w:rsidRPr="00C31C1E">
              <w:rPr>
                <w:rFonts w:ascii="Arial" w:eastAsia="Times New Roman" w:hAnsi="Arial" w:cs="Arial"/>
              </w:rPr>
              <w:t>All public school students with disabilities as defined by Section 504 who do not have an IEP shall participate in the State assessment in the grade level in which they are enrolled.  Appropriate accommodations, if any, must be determined by the student's Section 504 Committee and documented in the student's Section 504 Plan. (Policy 2340; 4.3.b)</w:t>
            </w:r>
            <w:r w:rsidRPr="00C31C1E">
              <w:t xml:space="preserve"> </w:t>
            </w:r>
            <w:r w:rsidRPr="00C31C1E">
              <w:rPr>
                <w:rFonts w:ascii="Arial" w:eastAsia="Times New Roman" w:hAnsi="Arial" w:cs="Arial"/>
              </w:rPr>
              <w:t>(S2,FA)</w:t>
            </w:r>
          </w:p>
        </w:tc>
      </w:tr>
    </w:tbl>
    <w:p w:rsidR="003B2328" w:rsidRDefault="003B2328" w:rsidP="003B2328">
      <w:pPr>
        <w:spacing w:after="0"/>
        <w:jc w:val="center"/>
        <w:rPr>
          <w:b/>
          <w:sz w:val="28"/>
          <w:szCs w:val="28"/>
        </w:rPr>
      </w:pPr>
    </w:p>
    <w:p w:rsidR="00EC6572" w:rsidRDefault="00EC6572"/>
    <w:sectPr w:rsidR="00EC6572" w:rsidSect="00F37473">
      <w:pgSz w:w="12240" w:h="15840"/>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437DC"/>
    <w:multiLevelType w:val="hybridMultilevel"/>
    <w:tmpl w:val="500A0C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5F5014A"/>
    <w:multiLevelType w:val="hybridMultilevel"/>
    <w:tmpl w:val="1BD2B974"/>
    <w:lvl w:ilvl="0" w:tplc="33EA05D2">
      <w:start w:val="1"/>
      <w:numFmt w:val="decimal"/>
      <w:lvlText w:val="%1."/>
      <w:lvlJc w:val="left"/>
      <w:pPr>
        <w:ind w:left="72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328"/>
    <w:rsid w:val="001579FD"/>
    <w:rsid w:val="003B2328"/>
    <w:rsid w:val="004E4441"/>
    <w:rsid w:val="006956A4"/>
    <w:rsid w:val="00C31C1E"/>
    <w:rsid w:val="00D96A03"/>
    <w:rsid w:val="00E0400E"/>
    <w:rsid w:val="00E32C8E"/>
    <w:rsid w:val="00EA375B"/>
    <w:rsid w:val="00EC6572"/>
    <w:rsid w:val="00F75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28"/>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23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28"/>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2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2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2014-06-05T14:09:00Z</cp:lastPrinted>
  <dcterms:created xsi:type="dcterms:W3CDTF">2014-06-25T15:35:00Z</dcterms:created>
  <dcterms:modified xsi:type="dcterms:W3CDTF">2014-06-25T15:35:00Z</dcterms:modified>
</cp:coreProperties>
</file>