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15" w:rsidRDefault="00244D15" w:rsidP="00244D15">
      <w:pPr>
        <w:tabs>
          <w:tab w:val="left" w:pos="3868"/>
          <w:tab w:val="center" w:pos="5400"/>
        </w:tabs>
        <w:spacing w:after="0"/>
        <w:jc w:val="center"/>
        <w:rPr>
          <w:b/>
          <w:sz w:val="28"/>
          <w:szCs w:val="28"/>
        </w:rPr>
      </w:pPr>
      <w:bookmarkStart w:id="0" w:name="_GoBack"/>
      <w:bookmarkEnd w:id="0"/>
      <w:r>
        <w:rPr>
          <w:b/>
          <w:sz w:val="28"/>
          <w:szCs w:val="28"/>
        </w:rPr>
        <w:t>RESOURCE DOCUMENT</w:t>
      </w:r>
    </w:p>
    <w:p w:rsidR="00244D15" w:rsidRPr="00AD5304" w:rsidRDefault="00244D15" w:rsidP="00633606">
      <w:pPr>
        <w:spacing w:after="0"/>
        <w:jc w:val="center"/>
        <w:rPr>
          <w:b/>
          <w:sz w:val="28"/>
          <w:szCs w:val="28"/>
        </w:rPr>
      </w:pPr>
      <w:r w:rsidRPr="00AD5304">
        <w:rPr>
          <w:b/>
          <w:sz w:val="28"/>
          <w:szCs w:val="28"/>
        </w:rPr>
        <w:t xml:space="preserve">COMPLIANCE CHECKLIST: POLICY </w:t>
      </w:r>
      <w:r>
        <w:rPr>
          <w:b/>
          <w:sz w:val="28"/>
          <w:szCs w:val="28"/>
        </w:rPr>
        <w:t>4373</w:t>
      </w:r>
    </w:p>
    <w:p w:rsidR="00244D15" w:rsidRDefault="00244D15" w:rsidP="00633606">
      <w:pPr>
        <w:spacing w:after="0"/>
        <w:jc w:val="center"/>
        <w:rPr>
          <w:rFonts w:cs="Arial"/>
          <w:b/>
          <w:sz w:val="24"/>
          <w:szCs w:val="24"/>
        </w:rPr>
      </w:pPr>
      <w:r>
        <w:rPr>
          <w:rFonts w:cs="Arial"/>
          <w:b/>
          <w:sz w:val="24"/>
          <w:szCs w:val="24"/>
        </w:rPr>
        <w:t>Expected Behaviors in Safe and Supportive Schools</w:t>
      </w:r>
    </w:p>
    <w:p w:rsidR="00244D15" w:rsidRPr="006E59C5" w:rsidRDefault="00244D15" w:rsidP="00633606">
      <w:pPr>
        <w:spacing w:after="0"/>
        <w:jc w:val="center"/>
        <w:rPr>
          <w:b/>
          <w:sz w:val="16"/>
          <w:szCs w:val="16"/>
        </w:rPr>
      </w:pPr>
    </w:p>
    <w:p w:rsidR="00244D15" w:rsidRPr="00393CAC" w:rsidRDefault="00244D15" w:rsidP="00244D15">
      <w:pPr>
        <w:tabs>
          <w:tab w:val="left" w:pos="9270"/>
        </w:tabs>
        <w:spacing w:after="0"/>
        <w:ind w:left="-540"/>
        <w:jc w:val="both"/>
      </w:pPr>
      <w:r w:rsidRPr="00393CAC">
        <w:t>DIRECTIONS:  To be considered fully compliant with Policy 4373, your school must adhere to the core areas outlined in    Policy 4373.  Before you begin self-rating school compliance, you may wish to review the sections of the policy identified in the checklist.   These areas will be examined during the on-site review.  To determine your level of compliance, use the following guide:</w:t>
      </w:r>
    </w:p>
    <w:p w:rsidR="00244D15" w:rsidRPr="00393CAC" w:rsidRDefault="00244D15" w:rsidP="00244D15">
      <w:pPr>
        <w:tabs>
          <w:tab w:val="left" w:pos="9270"/>
        </w:tabs>
        <w:spacing w:after="0"/>
        <w:ind w:left="-540" w:right="-360"/>
      </w:pPr>
    </w:p>
    <w:p w:rsidR="00244D15" w:rsidRPr="00393CAC" w:rsidRDefault="00244D15" w:rsidP="00244D15">
      <w:pPr>
        <w:tabs>
          <w:tab w:val="left" w:pos="9270"/>
        </w:tabs>
        <w:spacing w:after="0"/>
        <w:ind w:left="-180" w:right="-360" w:firstLine="360"/>
      </w:pPr>
      <w:r w:rsidRPr="00393CAC">
        <w:t xml:space="preserve">    Full Compliance = Compliant with </w:t>
      </w:r>
      <w:r w:rsidRPr="00393CAC">
        <w:rPr>
          <w:b/>
        </w:rPr>
        <w:t>all</w:t>
      </w:r>
      <w:r w:rsidRPr="00393CAC">
        <w:t xml:space="preserve"> items listed below.</w:t>
      </w:r>
    </w:p>
    <w:p w:rsidR="00244D15" w:rsidRPr="00393CAC" w:rsidRDefault="00244D15" w:rsidP="00244D15">
      <w:pPr>
        <w:tabs>
          <w:tab w:val="left" w:pos="9270"/>
        </w:tabs>
        <w:spacing w:after="0"/>
        <w:ind w:left="-180" w:right="-360" w:firstLine="360"/>
      </w:pPr>
      <w:r w:rsidRPr="00393CAC">
        <w:t xml:space="preserve">    Partial Compliance = Compliant with </w:t>
      </w:r>
      <w:r w:rsidRPr="00393CAC">
        <w:rPr>
          <w:b/>
        </w:rPr>
        <w:t>more than half</w:t>
      </w:r>
      <w:r w:rsidRPr="00393CAC">
        <w:t xml:space="preserve"> the items listed below.</w:t>
      </w:r>
    </w:p>
    <w:p w:rsidR="00244D15" w:rsidRPr="00393CAC" w:rsidRDefault="00244D15" w:rsidP="00244D15">
      <w:pPr>
        <w:tabs>
          <w:tab w:val="left" w:pos="9270"/>
        </w:tabs>
        <w:spacing w:after="0"/>
        <w:ind w:left="-180" w:right="-360" w:firstLine="360"/>
      </w:pPr>
      <w:r w:rsidRPr="00393CAC">
        <w:t xml:space="preserve">    Non-Compliant = Compliant </w:t>
      </w:r>
      <w:r w:rsidRPr="00393CAC">
        <w:rPr>
          <w:b/>
        </w:rPr>
        <w:t>with half or</w:t>
      </w:r>
      <w:r w:rsidRPr="00393CAC">
        <w:t xml:space="preserve"> </w:t>
      </w:r>
      <w:r w:rsidRPr="00393CAC">
        <w:rPr>
          <w:b/>
        </w:rPr>
        <w:t xml:space="preserve">less </w:t>
      </w:r>
      <w:r w:rsidRPr="00393CAC">
        <w:t>of the items below.</w:t>
      </w:r>
    </w:p>
    <w:p w:rsidR="00244D15" w:rsidRPr="00393CAC" w:rsidRDefault="00244D15" w:rsidP="00244D15">
      <w:pPr>
        <w:tabs>
          <w:tab w:val="left" w:pos="9270"/>
        </w:tabs>
        <w:spacing w:after="0"/>
        <w:ind w:left="-540" w:right="-360"/>
        <w:jc w:val="both"/>
      </w:pPr>
    </w:p>
    <w:p w:rsidR="00244D15" w:rsidRPr="00393CAC" w:rsidRDefault="00244D15" w:rsidP="00244D15">
      <w:pPr>
        <w:tabs>
          <w:tab w:val="left" w:pos="9270"/>
        </w:tabs>
        <w:spacing w:after="0"/>
        <w:ind w:left="-540"/>
        <w:jc w:val="both"/>
      </w:pPr>
      <w:r w:rsidRPr="00393CAC">
        <w:t>The following items will be reviewed (1) by examining the school and/or county policies and procedures; (2) by visiting alternative education classrooms; and (3) by interviewing staff, students, and placement team members.</w:t>
      </w:r>
    </w:p>
    <w:p w:rsidR="00244D15" w:rsidRPr="00393CAC" w:rsidRDefault="00244D15" w:rsidP="00244D15">
      <w:pPr>
        <w:tabs>
          <w:tab w:val="left" w:pos="9270"/>
        </w:tabs>
        <w:spacing w:after="0"/>
        <w:ind w:left="-540"/>
        <w:jc w:val="both"/>
      </w:pPr>
    </w:p>
    <w:p w:rsidR="00244D15" w:rsidRPr="00393CAC" w:rsidRDefault="00244D15" w:rsidP="00244D15">
      <w:pPr>
        <w:tabs>
          <w:tab w:val="left" w:pos="0"/>
          <w:tab w:val="left" w:pos="9270"/>
        </w:tabs>
        <w:spacing w:after="0"/>
        <w:ind w:left="-540"/>
        <w:rPr>
          <w:b/>
        </w:rPr>
      </w:pPr>
      <w:r w:rsidRPr="00393CAC">
        <w:rPr>
          <w:b/>
        </w:rPr>
        <w:t>(S_</w:t>
      </w:r>
      <w:proofErr w:type="gramStart"/>
      <w:r w:rsidRPr="00393CAC">
        <w:rPr>
          <w:b/>
        </w:rPr>
        <w:t>,F</w:t>
      </w:r>
      <w:proofErr w:type="gramEnd"/>
      <w:r w:rsidRPr="00393CAC">
        <w:rPr>
          <w:b/>
        </w:rPr>
        <w:t>_ below identify the Standard and Function correlating to the High Quality Standards in Policy 2322).</w:t>
      </w:r>
    </w:p>
    <w:tbl>
      <w:tblPr>
        <w:tblStyle w:val="TableGrid"/>
        <w:tblW w:w="10980" w:type="dxa"/>
        <w:tblInd w:w="-612" w:type="dxa"/>
        <w:tblLayout w:type="fixed"/>
        <w:tblLook w:val="04A0" w:firstRow="1" w:lastRow="0" w:firstColumn="1" w:lastColumn="0" w:noHBand="0" w:noVBand="1"/>
      </w:tblPr>
      <w:tblGrid>
        <w:gridCol w:w="1350"/>
        <w:gridCol w:w="9630"/>
      </w:tblGrid>
      <w:tr w:rsidR="00D97616" w:rsidRPr="00FC4513" w:rsidTr="00393CAC">
        <w:tc>
          <w:tcPr>
            <w:tcW w:w="1350" w:type="dxa"/>
          </w:tcPr>
          <w:p w:rsidR="00D97616" w:rsidRPr="00393CAC" w:rsidRDefault="00D97616" w:rsidP="00305762">
            <w:pPr>
              <w:rPr>
                <w:b/>
              </w:rPr>
            </w:pPr>
            <w:r w:rsidRPr="00393CAC">
              <w:rPr>
                <w:b/>
              </w:rPr>
              <w:t>Compliance</w:t>
            </w:r>
          </w:p>
        </w:tc>
        <w:tc>
          <w:tcPr>
            <w:tcW w:w="9630" w:type="dxa"/>
          </w:tcPr>
          <w:p w:rsidR="00D97616" w:rsidRPr="00FC4513" w:rsidRDefault="00D97616" w:rsidP="00D97616">
            <w:pPr>
              <w:jc w:val="center"/>
              <w:rPr>
                <w:b/>
                <w:sz w:val="24"/>
                <w:szCs w:val="24"/>
              </w:rPr>
            </w:pPr>
            <w:r w:rsidRPr="00FC4513">
              <w:rPr>
                <w:b/>
                <w:sz w:val="24"/>
                <w:szCs w:val="24"/>
              </w:rPr>
              <w:t>Core Areas of Policy 4373</w:t>
            </w:r>
          </w:p>
        </w:tc>
      </w:tr>
      <w:tr w:rsidR="00D97616" w:rsidRPr="00FC4513" w:rsidTr="00393CAC">
        <w:trPr>
          <w:trHeight w:val="638"/>
        </w:trPr>
        <w:tc>
          <w:tcPr>
            <w:tcW w:w="1350" w:type="dxa"/>
          </w:tcPr>
          <w:p w:rsidR="00D97616" w:rsidRPr="00393CAC" w:rsidRDefault="00D97616" w:rsidP="00305762">
            <w:pPr>
              <w:rPr>
                <w:b/>
              </w:rPr>
            </w:pPr>
            <w:r w:rsidRPr="00393CAC">
              <w:rPr>
                <w:b/>
              </w:rPr>
              <w:t>Yes       No</w:t>
            </w:r>
          </w:p>
        </w:tc>
        <w:tc>
          <w:tcPr>
            <w:tcW w:w="9630" w:type="dxa"/>
          </w:tcPr>
          <w:p w:rsidR="00244D15" w:rsidRPr="00393CAC" w:rsidRDefault="00244D15" w:rsidP="00244D15">
            <w:pPr>
              <w:pStyle w:val="ListParagraph"/>
              <w:numPr>
                <w:ilvl w:val="0"/>
                <w:numId w:val="15"/>
              </w:numPr>
              <w:ind w:left="342" w:hanging="342"/>
              <w:rPr>
                <w:rFonts w:cs="Arial"/>
              </w:rPr>
            </w:pPr>
            <w:r w:rsidRPr="00393CAC">
              <w:rPr>
                <w:rFonts w:cs="Arial"/>
                <w:b/>
              </w:rPr>
              <w:t>Guidelines for Implementation.</w:t>
            </w:r>
            <w:r w:rsidRPr="00393CAC">
              <w:rPr>
                <w:rFonts w:cs="Arial"/>
              </w:rPr>
              <w:t xml:space="preserve">  (S1,FC)</w:t>
            </w:r>
          </w:p>
          <w:p w:rsidR="00244D15" w:rsidRPr="00393CAC" w:rsidRDefault="00244D15" w:rsidP="00244D15">
            <w:pPr>
              <w:rPr>
                <w:rFonts w:cs="Arial"/>
              </w:rPr>
            </w:pPr>
            <w:r w:rsidRPr="00393CAC">
              <w:rPr>
                <w:rFonts w:cs="Arial"/>
              </w:rPr>
              <w:t xml:space="preserve">Each county board of education shall have approved policies and procedures for implementing Policy 4373, including but not limited to: </w:t>
            </w:r>
          </w:p>
          <w:p w:rsidR="00244D15" w:rsidRPr="00393CAC" w:rsidRDefault="00244D15" w:rsidP="00244D15">
            <w:pPr>
              <w:rPr>
                <w:rFonts w:cs="Arial"/>
              </w:rPr>
            </w:pPr>
          </w:p>
          <w:p w:rsidR="00244D15" w:rsidRPr="00393CAC" w:rsidRDefault="00244D15" w:rsidP="00244D15">
            <w:pPr>
              <w:pStyle w:val="ListParagraph"/>
              <w:numPr>
                <w:ilvl w:val="0"/>
                <w:numId w:val="12"/>
              </w:numPr>
              <w:ind w:left="399" w:hanging="270"/>
              <w:rPr>
                <w:rFonts w:cs="Arial"/>
              </w:rPr>
            </w:pPr>
            <w:r w:rsidRPr="00393CAC">
              <w:rPr>
                <w:rFonts w:cs="Arial"/>
              </w:rPr>
              <w:t xml:space="preserve">Teach students appropriate behaviors and dispositions (Pages 7-17). </w:t>
            </w:r>
          </w:p>
          <w:p w:rsidR="00244D15" w:rsidRPr="00393CAC" w:rsidRDefault="00244D15" w:rsidP="00244D15">
            <w:pPr>
              <w:pStyle w:val="ListParagraph"/>
              <w:numPr>
                <w:ilvl w:val="0"/>
                <w:numId w:val="12"/>
              </w:numPr>
              <w:ind w:left="399" w:hanging="270"/>
              <w:rPr>
                <w:rFonts w:cs="Arial"/>
              </w:rPr>
            </w:pPr>
            <w:r w:rsidRPr="00393CAC">
              <w:rPr>
                <w:rFonts w:cs="Arial"/>
              </w:rPr>
              <w:t>Assure students’ rights and responsibilities are taught and protected (Pages 18-21).</w:t>
            </w:r>
          </w:p>
          <w:p w:rsidR="00244D15" w:rsidRPr="00393CAC" w:rsidRDefault="00244D15" w:rsidP="00244D15">
            <w:pPr>
              <w:pStyle w:val="ListParagraph"/>
              <w:numPr>
                <w:ilvl w:val="0"/>
                <w:numId w:val="12"/>
              </w:numPr>
              <w:ind w:left="399" w:hanging="270"/>
              <w:rPr>
                <w:rFonts w:cs="Arial"/>
              </w:rPr>
            </w:pPr>
            <w:r w:rsidRPr="00393CAC">
              <w:rPr>
                <w:rFonts w:cs="Arial"/>
              </w:rPr>
              <w:t>Implement proactive, preventative, and responsive programs (Page 43).</w:t>
            </w:r>
          </w:p>
          <w:p w:rsidR="00244D15" w:rsidRPr="00393CAC" w:rsidRDefault="00244D15" w:rsidP="00244D15">
            <w:pPr>
              <w:pStyle w:val="ListParagraph"/>
              <w:numPr>
                <w:ilvl w:val="0"/>
                <w:numId w:val="12"/>
              </w:numPr>
              <w:ind w:left="399" w:hanging="270"/>
              <w:rPr>
                <w:rFonts w:cs="Arial"/>
              </w:rPr>
            </w:pPr>
            <w:r w:rsidRPr="00393CAC">
              <w:rPr>
                <w:rFonts w:cs="Arial"/>
              </w:rPr>
              <w:t>Implement investigatory and reporting procedures (Page 43).</w:t>
            </w:r>
          </w:p>
          <w:p w:rsidR="00244D15" w:rsidRPr="00393CAC" w:rsidRDefault="00244D15" w:rsidP="00244D15">
            <w:pPr>
              <w:pStyle w:val="ListParagraph"/>
              <w:numPr>
                <w:ilvl w:val="0"/>
                <w:numId w:val="12"/>
              </w:numPr>
              <w:ind w:left="399" w:hanging="270"/>
              <w:rPr>
                <w:rFonts w:cs="Arial"/>
              </w:rPr>
            </w:pPr>
            <w:r w:rsidRPr="00393CAC">
              <w:rPr>
                <w:rFonts w:cs="Arial"/>
              </w:rPr>
              <w:t>Implement meaningful interventions and consequences in response to inappropriate behavior (Pages 45-57).</w:t>
            </w:r>
          </w:p>
          <w:p w:rsidR="00320AE9" w:rsidRPr="00393CAC" w:rsidRDefault="00244D15" w:rsidP="00244D15">
            <w:pPr>
              <w:pStyle w:val="ListParagraph"/>
              <w:numPr>
                <w:ilvl w:val="0"/>
                <w:numId w:val="12"/>
              </w:numPr>
              <w:ind w:left="399" w:hanging="270"/>
              <w:rPr>
                <w:rFonts w:cs="Arial"/>
              </w:rPr>
            </w:pPr>
            <w:r w:rsidRPr="00393CAC">
              <w:rPr>
                <w:rFonts w:cs="Arial"/>
              </w:rPr>
              <w:t>Develop and implement a comprehensive crisis response plan (Pages 25-27).</w:t>
            </w:r>
          </w:p>
        </w:tc>
      </w:tr>
      <w:tr w:rsidR="00244D15" w:rsidRPr="00244D15" w:rsidTr="00393CAC">
        <w:trPr>
          <w:trHeight w:val="863"/>
        </w:trPr>
        <w:tc>
          <w:tcPr>
            <w:tcW w:w="1350" w:type="dxa"/>
          </w:tcPr>
          <w:p w:rsidR="00244D15" w:rsidRPr="00393CAC" w:rsidRDefault="00244D15" w:rsidP="00D97616">
            <w:pPr>
              <w:rPr>
                <w:b/>
              </w:rPr>
            </w:pPr>
            <w:r w:rsidRPr="00393CAC">
              <w:rPr>
                <w:b/>
              </w:rPr>
              <w:t>Yes      No</w:t>
            </w:r>
          </w:p>
          <w:p w:rsidR="00244D15" w:rsidRPr="00393CAC" w:rsidRDefault="00244D15" w:rsidP="00305762">
            <w:pPr>
              <w:rPr>
                <w:b/>
              </w:rPr>
            </w:pPr>
          </w:p>
        </w:tc>
        <w:tc>
          <w:tcPr>
            <w:tcW w:w="9630" w:type="dxa"/>
          </w:tcPr>
          <w:p w:rsidR="00244D15" w:rsidRPr="00393CAC" w:rsidRDefault="00244D15" w:rsidP="00244D15">
            <w:pPr>
              <w:pStyle w:val="ListParagraph"/>
              <w:numPr>
                <w:ilvl w:val="0"/>
                <w:numId w:val="15"/>
              </w:numPr>
              <w:ind w:left="342" w:hanging="342"/>
              <w:jc w:val="both"/>
              <w:rPr>
                <w:rFonts w:cs="Arial"/>
              </w:rPr>
            </w:pPr>
            <w:r w:rsidRPr="00393CAC">
              <w:rPr>
                <w:rFonts w:cs="Arial"/>
                <w:b/>
              </w:rPr>
              <w:t>Alternative Education.</w:t>
            </w:r>
            <w:r w:rsidRPr="00393CAC">
              <w:rPr>
                <w:rFonts w:cs="Arial"/>
              </w:rPr>
              <w:t xml:space="preserve">  (S1,FC)</w:t>
            </w:r>
          </w:p>
          <w:p w:rsidR="00244D15" w:rsidRPr="00393CAC" w:rsidRDefault="00244D15" w:rsidP="00633606">
            <w:pPr>
              <w:jc w:val="both"/>
              <w:rPr>
                <w:rFonts w:cs="Arial"/>
              </w:rPr>
            </w:pPr>
            <w:r w:rsidRPr="00393CAC">
              <w:rPr>
                <w:rFonts w:eastAsia="Times New Roman" w:cs="Arial"/>
              </w:rPr>
              <w:t xml:space="preserve">A temporary authorized departure from the regular school program designed to provide educational and social development for students whose disruptive behavior places them at risk of not succeeding in the traditional school structures and in adult life without positive interventions.  </w:t>
            </w:r>
          </w:p>
          <w:p w:rsidR="00244D15" w:rsidRPr="00393CAC" w:rsidRDefault="00244D15" w:rsidP="00633606">
            <w:pPr>
              <w:ind w:left="327"/>
              <w:jc w:val="both"/>
              <w:rPr>
                <w:rFonts w:cs="Arial"/>
              </w:rPr>
            </w:pPr>
          </w:p>
          <w:p w:rsidR="00244D15" w:rsidRPr="00393CAC" w:rsidRDefault="00244D15" w:rsidP="00244D15">
            <w:pPr>
              <w:jc w:val="both"/>
              <w:rPr>
                <w:rFonts w:cs="Arial"/>
              </w:rPr>
            </w:pPr>
            <w:r w:rsidRPr="00393CAC">
              <w:rPr>
                <w:rFonts w:cs="Arial"/>
              </w:rPr>
              <w:t>Alternative education programs meet the requirements of Policy 2510 and Policy 4373. (W.Va. Code §18-2-6 and §18-5-19; Policy 2510; Policy 4373)</w:t>
            </w:r>
            <w:r w:rsidRPr="00393CAC">
              <w:rPr>
                <w:rFonts w:eastAsia="Times New Roman" w:cs="Arial"/>
              </w:rPr>
              <w:t xml:space="preserve"> (Policy 4373, Pages 59-63)</w:t>
            </w:r>
          </w:p>
          <w:p w:rsidR="00244D15" w:rsidRPr="00393CAC" w:rsidRDefault="00244D15" w:rsidP="00633606">
            <w:pPr>
              <w:ind w:left="39"/>
              <w:jc w:val="both"/>
              <w:rPr>
                <w:rFonts w:cs="Arial"/>
              </w:rPr>
            </w:pPr>
          </w:p>
          <w:p w:rsidR="00244D15" w:rsidRPr="00393CAC" w:rsidRDefault="00244D15" w:rsidP="00244D15">
            <w:pPr>
              <w:pStyle w:val="ListParagraph"/>
              <w:numPr>
                <w:ilvl w:val="0"/>
                <w:numId w:val="10"/>
              </w:numPr>
              <w:ind w:left="399" w:hanging="270"/>
              <w:jc w:val="both"/>
              <w:rPr>
                <w:rFonts w:eastAsia="Times New Roman" w:cs="Arial"/>
              </w:rPr>
            </w:pPr>
            <w:r w:rsidRPr="00393CAC">
              <w:rPr>
                <w:rFonts w:eastAsia="Times New Roman" w:cs="Arial"/>
              </w:rPr>
              <w:t>Implement county policies and procedures for alternative education.</w:t>
            </w:r>
          </w:p>
          <w:p w:rsidR="00244D15" w:rsidRPr="00393CAC" w:rsidRDefault="00244D15" w:rsidP="00244D15">
            <w:pPr>
              <w:pStyle w:val="ListParagraph"/>
              <w:numPr>
                <w:ilvl w:val="0"/>
                <w:numId w:val="10"/>
              </w:numPr>
              <w:ind w:left="399" w:hanging="270"/>
              <w:jc w:val="both"/>
              <w:rPr>
                <w:rFonts w:eastAsia="Times New Roman" w:cs="Arial"/>
              </w:rPr>
            </w:pPr>
            <w:r w:rsidRPr="00393CAC">
              <w:rPr>
                <w:rFonts w:eastAsia="Times New Roman" w:cs="Arial"/>
              </w:rPr>
              <w:t>Follow eligibility criteria for placement in alternative education, including expelled students.</w:t>
            </w:r>
          </w:p>
          <w:p w:rsidR="00244D15" w:rsidRPr="00393CAC" w:rsidRDefault="00244D15" w:rsidP="00244D15">
            <w:pPr>
              <w:pStyle w:val="ListParagraph"/>
              <w:numPr>
                <w:ilvl w:val="0"/>
                <w:numId w:val="4"/>
              </w:numPr>
              <w:snapToGrid w:val="0"/>
              <w:ind w:left="399" w:hanging="270"/>
              <w:jc w:val="both"/>
              <w:rPr>
                <w:rFonts w:eastAsia="Times New Roman" w:cs="Arial"/>
              </w:rPr>
            </w:pPr>
            <w:r w:rsidRPr="00393CAC">
              <w:rPr>
                <w:rFonts w:eastAsia="Times New Roman" w:cs="Arial"/>
              </w:rPr>
              <w:t>Convene the Alternative Education Placement Team that will develop a written plan including: academic courses, behavioral components, criteria for re-entry to the regular school program, and provisions for periodic review of the student's progress at least on an annual basis. (The team for all students with disabilities shall be the IEP team and the written plan shall be the IEP.)</w:t>
            </w:r>
          </w:p>
          <w:p w:rsidR="00244D15" w:rsidRPr="00393CAC" w:rsidRDefault="00244D15" w:rsidP="00244D15">
            <w:pPr>
              <w:pStyle w:val="ListParagraph"/>
              <w:numPr>
                <w:ilvl w:val="0"/>
                <w:numId w:val="4"/>
              </w:numPr>
              <w:snapToGrid w:val="0"/>
              <w:ind w:left="399" w:hanging="270"/>
              <w:jc w:val="both"/>
              <w:rPr>
                <w:rFonts w:eastAsia="Times New Roman" w:cs="Arial"/>
              </w:rPr>
            </w:pPr>
            <w:r w:rsidRPr="00393CAC">
              <w:rPr>
                <w:rFonts w:eastAsia="Times New Roman" w:cs="Arial"/>
              </w:rPr>
              <w:t xml:space="preserve">Follow identified written curriculum based upon State standards, including a component for teaching and learning responsible behavior. </w:t>
            </w:r>
          </w:p>
          <w:p w:rsidR="00244D15" w:rsidRPr="00393CAC" w:rsidRDefault="00244D15" w:rsidP="00244D15">
            <w:pPr>
              <w:pStyle w:val="ListParagraph"/>
              <w:numPr>
                <w:ilvl w:val="0"/>
                <w:numId w:val="4"/>
              </w:numPr>
              <w:snapToGrid w:val="0"/>
              <w:ind w:left="399" w:hanging="270"/>
              <w:jc w:val="both"/>
              <w:rPr>
                <w:rFonts w:eastAsia="Times New Roman" w:cs="Arial"/>
              </w:rPr>
            </w:pPr>
            <w:r w:rsidRPr="00393CAC">
              <w:rPr>
                <w:rFonts w:eastAsia="Times New Roman" w:cs="Arial"/>
              </w:rPr>
              <w:t>Employ licensed, certified staff in core subject areas.</w:t>
            </w:r>
          </w:p>
          <w:p w:rsidR="00244D15" w:rsidRPr="00393CAC" w:rsidRDefault="00244D15" w:rsidP="00244D15">
            <w:pPr>
              <w:pStyle w:val="ListParagraph"/>
              <w:numPr>
                <w:ilvl w:val="0"/>
                <w:numId w:val="7"/>
              </w:numPr>
              <w:snapToGrid w:val="0"/>
              <w:ind w:left="399" w:hanging="270"/>
              <w:jc w:val="both"/>
              <w:rPr>
                <w:rFonts w:eastAsia="Times New Roman" w:cs="Arial"/>
              </w:rPr>
            </w:pPr>
            <w:r w:rsidRPr="00393CAC">
              <w:rPr>
                <w:rFonts w:eastAsia="Times New Roman" w:cs="Arial"/>
              </w:rPr>
              <w:t>Participate in State assessment program.</w:t>
            </w:r>
          </w:p>
          <w:p w:rsidR="00244D15" w:rsidRPr="00393CAC" w:rsidRDefault="00244D15" w:rsidP="00244D15">
            <w:pPr>
              <w:pStyle w:val="ListParagraph"/>
              <w:numPr>
                <w:ilvl w:val="0"/>
                <w:numId w:val="7"/>
              </w:numPr>
              <w:snapToGrid w:val="0"/>
              <w:ind w:left="399" w:hanging="270"/>
              <w:jc w:val="both"/>
              <w:rPr>
                <w:rFonts w:eastAsia="Times New Roman" w:cs="Arial"/>
              </w:rPr>
            </w:pPr>
            <w:r w:rsidRPr="00393CAC">
              <w:rPr>
                <w:rFonts w:eastAsia="Times New Roman" w:cs="Arial"/>
              </w:rPr>
              <w:t>Compliance with State policies and federal regulations in the education of exceptional students.</w:t>
            </w:r>
          </w:p>
        </w:tc>
      </w:tr>
    </w:tbl>
    <w:p w:rsidR="00480B88" w:rsidRPr="00244D15" w:rsidRDefault="00480B88"/>
    <w:sectPr w:rsidR="00480B88" w:rsidRPr="00244D15" w:rsidSect="00244D15">
      <w:pgSz w:w="12240" w:h="15840"/>
      <w:pgMar w:top="900" w:right="5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4092"/>
    <w:multiLevelType w:val="hybridMultilevel"/>
    <w:tmpl w:val="E018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4FE0"/>
    <w:multiLevelType w:val="hybridMultilevel"/>
    <w:tmpl w:val="38F44D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4870B6"/>
    <w:multiLevelType w:val="hybridMultilevel"/>
    <w:tmpl w:val="785027DC"/>
    <w:lvl w:ilvl="0" w:tplc="73088D7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27594"/>
    <w:multiLevelType w:val="hybridMultilevel"/>
    <w:tmpl w:val="B7C484A8"/>
    <w:lvl w:ilvl="0" w:tplc="2A707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82131"/>
    <w:multiLevelType w:val="hybridMultilevel"/>
    <w:tmpl w:val="61A46BE6"/>
    <w:lvl w:ilvl="0" w:tplc="AD9A9638">
      <w:start w:val="1"/>
      <w:numFmt w:val="bullet"/>
      <w:lvlText w:val=""/>
      <w:lvlJc w:val="left"/>
      <w:pPr>
        <w:ind w:left="573" w:hanging="360"/>
      </w:pPr>
      <w:rPr>
        <w:rFonts w:ascii="Symbol" w:hAnsi="Symbol" w:hint="default"/>
        <w:sz w:val="20"/>
        <w:szCs w:val="20"/>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5">
    <w:nsid w:val="44221A1D"/>
    <w:multiLevelType w:val="hybridMultilevel"/>
    <w:tmpl w:val="23B43294"/>
    <w:lvl w:ilvl="0" w:tplc="C6DC978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9034B"/>
    <w:multiLevelType w:val="hybridMultilevel"/>
    <w:tmpl w:val="F71227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409A5"/>
    <w:multiLevelType w:val="hybridMultilevel"/>
    <w:tmpl w:val="790C4284"/>
    <w:lvl w:ilvl="0" w:tplc="0409000D">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8">
    <w:nsid w:val="596F528E"/>
    <w:multiLevelType w:val="hybridMultilevel"/>
    <w:tmpl w:val="BFC8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11255"/>
    <w:multiLevelType w:val="hybridMultilevel"/>
    <w:tmpl w:val="4D9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437DC"/>
    <w:multiLevelType w:val="hybridMultilevel"/>
    <w:tmpl w:val="E10E524C"/>
    <w:lvl w:ilvl="0" w:tplc="93221C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CE5D94"/>
    <w:multiLevelType w:val="hybridMultilevel"/>
    <w:tmpl w:val="96887B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12">
    <w:nsid w:val="7871657B"/>
    <w:multiLevelType w:val="hybridMultilevel"/>
    <w:tmpl w:val="B91CD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21E13"/>
    <w:multiLevelType w:val="hybridMultilevel"/>
    <w:tmpl w:val="368C02A0"/>
    <w:lvl w:ilvl="0" w:tplc="0FB02DE0">
      <w:start w:val="1"/>
      <w:numFmt w:val="decimal"/>
      <w:lvlText w:val="%1."/>
      <w:lvlJc w:val="left"/>
      <w:pPr>
        <w:ind w:left="1425" w:hanging="720"/>
      </w:pPr>
      <w:rPr>
        <w:rFonts w:hint="default"/>
        <w:b/>
        <w:i/>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7EB83298"/>
    <w:multiLevelType w:val="multilevel"/>
    <w:tmpl w:val="9A38F8B6"/>
    <w:lvl w:ilvl="0">
      <w:start w:val="1"/>
      <w:numFmt w:val="decimal"/>
      <w:lvlText w:val="%1."/>
      <w:lvlJc w:val="left"/>
      <w:pPr>
        <w:ind w:left="720" w:hanging="360"/>
      </w:pPr>
    </w:lvl>
    <w:lvl w:ilvl="1">
      <w:start w:val="1"/>
      <w:numFmt w:val="decimal"/>
      <w:isLgl/>
      <w:lvlText w:val="%1.%2."/>
      <w:lvlJc w:val="left"/>
      <w:pPr>
        <w:ind w:left="1140" w:hanging="780"/>
      </w:pPr>
      <w:rPr>
        <w:rFonts w:hint="default"/>
      </w:rPr>
    </w:lvl>
    <w:lvl w:ilvl="2">
      <w:start w:val="12"/>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1"/>
  </w:num>
  <w:num w:numId="3">
    <w:abstractNumId w:val="7"/>
  </w:num>
  <w:num w:numId="4">
    <w:abstractNumId w:val="6"/>
  </w:num>
  <w:num w:numId="5">
    <w:abstractNumId w:val="0"/>
  </w:num>
  <w:num w:numId="6">
    <w:abstractNumId w:val="12"/>
  </w:num>
  <w:num w:numId="7">
    <w:abstractNumId w:val="2"/>
  </w:num>
  <w:num w:numId="8">
    <w:abstractNumId w:val="14"/>
  </w:num>
  <w:num w:numId="9">
    <w:abstractNumId w:val="9"/>
  </w:num>
  <w:num w:numId="10">
    <w:abstractNumId w:val="11"/>
  </w:num>
  <w:num w:numId="11">
    <w:abstractNumId w:val="8"/>
  </w:num>
  <w:num w:numId="12">
    <w:abstractNumId w:val="4"/>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16"/>
    <w:rsid w:val="00061762"/>
    <w:rsid w:val="0012370F"/>
    <w:rsid w:val="001E5DDA"/>
    <w:rsid w:val="00244D15"/>
    <w:rsid w:val="00287F38"/>
    <w:rsid w:val="00320AE9"/>
    <w:rsid w:val="00334079"/>
    <w:rsid w:val="00393CAC"/>
    <w:rsid w:val="00395921"/>
    <w:rsid w:val="003F2F06"/>
    <w:rsid w:val="00480B88"/>
    <w:rsid w:val="004F1BCB"/>
    <w:rsid w:val="005249A6"/>
    <w:rsid w:val="00537A6F"/>
    <w:rsid w:val="00712F74"/>
    <w:rsid w:val="008D3CA7"/>
    <w:rsid w:val="00985B3C"/>
    <w:rsid w:val="00997BF9"/>
    <w:rsid w:val="00A615BE"/>
    <w:rsid w:val="00B30947"/>
    <w:rsid w:val="00C65580"/>
    <w:rsid w:val="00D85482"/>
    <w:rsid w:val="00D97616"/>
    <w:rsid w:val="00E44296"/>
    <w:rsid w:val="00E6051F"/>
    <w:rsid w:val="00F75F4C"/>
    <w:rsid w:val="00FC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1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616"/>
    <w:pPr>
      <w:ind w:left="720"/>
      <w:contextualSpacing/>
    </w:pPr>
  </w:style>
  <w:style w:type="character" w:styleId="Hyperlink">
    <w:name w:val="Hyperlink"/>
    <w:basedOn w:val="DefaultParagraphFont"/>
    <w:uiPriority w:val="99"/>
    <w:unhideWhenUsed/>
    <w:rsid w:val="00D97616"/>
    <w:rPr>
      <w:color w:val="0000FF" w:themeColor="hyperlink"/>
      <w:u w:val="single"/>
    </w:rPr>
  </w:style>
  <w:style w:type="paragraph" w:styleId="BalloonText">
    <w:name w:val="Balloon Text"/>
    <w:basedOn w:val="Normal"/>
    <w:link w:val="BalloonTextChar"/>
    <w:unhideWhenUsed/>
    <w:rsid w:val="00244D15"/>
    <w:pPr>
      <w:spacing w:after="0"/>
    </w:pPr>
    <w:rPr>
      <w:rFonts w:ascii="Tahoma" w:hAnsi="Tahoma" w:cs="Tahoma"/>
      <w:sz w:val="16"/>
      <w:szCs w:val="16"/>
    </w:rPr>
  </w:style>
  <w:style w:type="character" w:customStyle="1" w:styleId="BalloonTextChar">
    <w:name w:val="Balloon Text Char"/>
    <w:basedOn w:val="DefaultParagraphFont"/>
    <w:link w:val="BalloonText"/>
    <w:rsid w:val="00244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1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616"/>
    <w:pPr>
      <w:ind w:left="720"/>
      <w:contextualSpacing/>
    </w:pPr>
  </w:style>
  <w:style w:type="character" w:styleId="Hyperlink">
    <w:name w:val="Hyperlink"/>
    <w:basedOn w:val="DefaultParagraphFont"/>
    <w:uiPriority w:val="99"/>
    <w:unhideWhenUsed/>
    <w:rsid w:val="00D97616"/>
    <w:rPr>
      <w:color w:val="0000FF" w:themeColor="hyperlink"/>
      <w:u w:val="single"/>
    </w:rPr>
  </w:style>
  <w:style w:type="paragraph" w:styleId="BalloonText">
    <w:name w:val="Balloon Text"/>
    <w:basedOn w:val="Normal"/>
    <w:link w:val="BalloonTextChar"/>
    <w:unhideWhenUsed/>
    <w:rsid w:val="00244D15"/>
    <w:pPr>
      <w:spacing w:after="0"/>
    </w:pPr>
    <w:rPr>
      <w:rFonts w:ascii="Tahoma" w:hAnsi="Tahoma" w:cs="Tahoma"/>
      <w:sz w:val="16"/>
      <w:szCs w:val="16"/>
    </w:rPr>
  </w:style>
  <w:style w:type="character" w:customStyle="1" w:styleId="BalloonTextChar">
    <w:name w:val="Balloon Text Char"/>
    <w:basedOn w:val="DefaultParagraphFont"/>
    <w:link w:val="BalloonText"/>
    <w:rsid w:val="00244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2014-06-05T14:13:00Z</cp:lastPrinted>
  <dcterms:created xsi:type="dcterms:W3CDTF">2014-06-25T15:37:00Z</dcterms:created>
  <dcterms:modified xsi:type="dcterms:W3CDTF">2014-06-25T15:37:00Z</dcterms:modified>
</cp:coreProperties>
</file>